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D279" w14:textId="270C2096" w:rsidR="00026BD3" w:rsidRPr="009F0D1D" w:rsidRDefault="0051283B">
      <w:pPr>
        <w:spacing w:before="7" w:line="240" w:lineRule="exact"/>
        <w:rPr>
          <w:sz w:val="22"/>
          <w:szCs w:val="22"/>
        </w:rPr>
      </w:pPr>
      <w:bookmarkStart w:id="0" w:name="_Hlk191031497"/>
      <w:r w:rsidRPr="009F0D1D">
        <w:rPr>
          <w:noProof/>
          <w:sz w:val="22"/>
          <w:szCs w:val="22"/>
        </w:rPr>
        <w:drawing>
          <wp:anchor distT="0" distB="0" distL="114300" distR="114300" simplePos="0" relativeHeight="251658242" behindDoc="0" locked="0" layoutInCell="1" allowOverlap="1" wp14:anchorId="5185939E" wp14:editId="6691294E">
            <wp:simplePos x="0" y="0"/>
            <wp:positionH relativeFrom="page">
              <wp:posOffset>3461385</wp:posOffset>
            </wp:positionH>
            <wp:positionV relativeFrom="paragraph">
              <wp:posOffset>-121920</wp:posOffset>
            </wp:positionV>
            <wp:extent cx="942976" cy="586740"/>
            <wp:effectExtent l="0" t="0" r="9525" b="3810"/>
            <wp:wrapNone/>
            <wp:docPr id="7864969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6" cy="586740"/>
                    </a:xfrm>
                    <a:prstGeom prst="rect">
                      <a:avLst/>
                    </a:prstGeom>
                    <a:noFill/>
                  </pic:spPr>
                </pic:pic>
              </a:graphicData>
            </a:graphic>
            <wp14:sizeRelH relativeFrom="page">
              <wp14:pctWidth>0</wp14:pctWidth>
            </wp14:sizeRelH>
            <wp14:sizeRelV relativeFrom="page">
              <wp14:pctHeight>0</wp14:pctHeight>
            </wp14:sizeRelV>
          </wp:anchor>
        </w:drawing>
      </w:r>
      <w:r w:rsidR="00000000">
        <w:rPr>
          <w:sz w:val="22"/>
          <w:szCs w:val="22"/>
          <w:lang w:eastAsia="fr-FR"/>
        </w:rPr>
        <w:object w:dxaOrig="1440" w:dyaOrig="1440" w14:anchorId="50611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9.35pt;margin-top:-15.8pt;width:66.25pt;height:52.3pt;z-index:251658241;mso-position-horizontal-relative:text;mso-position-vertical-relative:text">
            <v:imagedata r:id="rId6" o:title=""/>
          </v:shape>
          <o:OLEObject Type="Embed" ProgID="CorelDRAW.Graphic.11" ShapeID="_x0000_s1046" DrawAspect="Content" ObjectID="_1842077418" r:id="rId7"/>
        </w:object>
      </w:r>
    </w:p>
    <w:p w14:paraId="5A3FB29A" w14:textId="62E93110" w:rsidR="00DC7FE4" w:rsidRPr="009F0D1D" w:rsidRDefault="00DC7FE4" w:rsidP="0051283B">
      <w:pPr>
        <w:spacing w:before="7" w:line="240" w:lineRule="exact"/>
        <w:jc w:val="center"/>
        <w:rPr>
          <w:sz w:val="22"/>
          <w:szCs w:val="22"/>
        </w:rPr>
      </w:pPr>
    </w:p>
    <w:p w14:paraId="08AE9481" w14:textId="527BA8B0" w:rsidR="008019A7" w:rsidRPr="009F0D1D" w:rsidRDefault="008019A7" w:rsidP="008019A7">
      <w:pPr>
        <w:spacing w:before="32" w:line="245" w:lineRule="auto"/>
        <w:ind w:left="996" w:right="-38" w:firstLine="223"/>
        <w:jc w:val="both"/>
        <w:rPr>
          <w:rFonts w:eastAsia="Arial"/>
          <w:b/>
          <w:spacing w:val="-1"/>
          <w:sz w:val="22"/>
          <w:szCs w:val="22"/>
        </w:rPr>
      </w:pPr>
      <w:r w:rsidRPr="009F0D1D">
        <w:rPr>
          <w:noProof/>
          <w:sz w:val="22"/>
          <w:szCs w:val="22"/>
          <w:lang w:eastAsia="fr-FR"/>
        </w:rPr>
        <w:drawing>
          <wp:anchor distT="0" distB="0" distL="114300" distR="114300" simplePos="0" relativeHeight="251658240" behindDoc="1" locked="0" layoutInCell="1" allowOverlap="1" wp14:anchorId="0623C905" wp14:editId="25E3864E">
            <wp:simplePos x="0" y="0"/>
            <wp:positionH relativeFrom="page">
              <wp:posOffset>5334762</wp:posOffset>
            </wp:positionH>
            <wp:positionV relativeFrom="paragraph">
              <wp:posOffset>-580263</wp:posOffset>
            </wp:positionV>
            <wp:extent cx="1244600" cy="768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0" cy="768350"/>
                    </a:xfrm>
                    <a:prstGeom prst="rect">
                      <a:avLst/>
                    </a:prstGeom>
                    <a:noFill/>
                  </pic:spPr>
                </pic:pic>
              </a:graphicData>
            </a:graphic>
          </wp:anchor>
        </w:drawing>
      </w:r>
    </w:p>
    <w:p w14:paraId="2C83C2C0" w14:textId="243D2C3E" w:rsidR="008019A7" w:rsidRPr="009F0D1D" w:rsidRDefault="008019A7" w:rsidP="00E45D48">
      <w:pPr>
        <w:spacing w:before="32" w:line="245" w:lineRule="auto"/>
        <w:ind w:right="-38"/>
        <w:jc w:val="both"/>
        <w:rPr>
          <w:rFonts w:eastAsia="Arial"/>
          <w:b/>
          <w:sz w:val="22"/>
          <w:szCs w:val="22"/>
        </w:rPr>
      </w:pPr>
      <w:r w:rsidRPr="009F0D1D">
        <w:rPr>
          <w:rFonts w:eastAsia="Arial"/>
          <w:b/>
          <w:spacing w:val="-1"/>
          <w:sz w:val="22"/>
          <w:szCs w:val="22"/>
        </w:rPr>
        <w:t>REPUB</w:t>
      </w:r>
      <w:r w:rsidRPr="009F0D1D">
        <w:rPr>
          <w:rFonts w:eastAsia="Arial"/>
          <w:b/>
          <w:sz w:val="22"/>
          <w:szCs w:val="22"/>
        </w:rPr>
        <w:t>LI</w:t>
      </w:r>
      <w:r w:rsidRPr="009F0D1D">
        <w:rPr>
          <w:rFonts w:eastAsia="Arial"/>
          <w:b/>
          <w:spacing w:val="1"/>
          <w:sz w:val="22"/>
          <w:szCs w:val="22"/>
        </w:rPr>
        <w:t>Q</w:t>
      </w:r>
      <w:r w:rsidRPr="009F0D1D">
        <w:rPr>
          <w:rFonts w:eastAsia="Arial"/>
          <w:b/>
          <w:spacing w:val="-1"/>
          <w:sz w:val="22"/>
          <w:szCs w:val="22"/>
        </w:rPr>
        <w:t>U</w:t>
      </w:r>
      <w:r w:rsidRPr="009F0D1D">
        <w:rPr>
          <w:rFonts w:eastAsia="Arial"/>
          <w:b/>
          <w:sz w:val="22"/>
          <w:szCs w:val="22"/>
        </w:rPr>
        <w:t xml:space="preserve">E </w:t>
      </w:r>
      <w:r w:rsidRPr="009F0D1D">
        <w:rPr>
          <w:rFonts w:eastAsia="Arial"/>
          <w:b/>
          <w:spacing w:val="-1"/>
          <w:sz w:val="22"/>
          <w:szCs w:val="22"/>
        </w:rPr>
        <w:t>D</w:t>
      </w:r>
      <w:r w:rsidRPr="009F0D1D">
        <w:rPr>
          <w:rFonts w:eastAsia="Arial"/>
          <w:b/>
          <w:sz w:val="22"/>
          <w:szCs w:val="22"/>
        </w:rPr>
        <w:t xml:space="preserve">E </w:t>
      </w:r>
      <w:r w:rsidRPr="009F0D1D">
        <w:rPr>
          <w:rFonts w:eastAsia="Arial"/>
          <w:b/>
          <w:spacing w:val="1"/>
          <w:sz w:val="22"/>
          <w:szCs w:val="22"/>
        </w:rPr>
        <w:t>G</w:t>
      </w:r>
      <w:r w:rsidRPr="009F0D1D">
        <w:rPr>
          <w:rFonts w:eastAsia="Arial"/>
          <w:b/>
          <w:spacing w:val="-1"/>
          <w:sz w:val="22"/>
          <w:szCs w:val="22"/>
        </w:rPr>
        <w:t>U</w:t>
      </w:r>
      <w:r w:rsidRPr="009F0D1D">
        <w:rPr>
          <w:rFonts w:eastAsia="Arial"/>
          <w:b/>
          <w:spacing w:val="1"/>
          <w:sz w:val="22"/>
          <w:szCs w:val="22"/>
        </w:rPr>
        <w:t>I</w:t>
      </w:r>
      <w:r w:rsidRPr="009F0D1D">
        <w:rPr>
          <w:rFonts w:eastAsia="Arial"/>
          <w:b/>
          <w:spacing w:val="-1"/>
          <w:sz w:val="22"/>
          <w:szCs w:val="22"/>
        </w:rPr>
        <w:t>NE</w:t>
      </w:r>
      <w:r w:rsidRPr="009F0D1D">
        <w:rPr>
          <w:rFonts w:eastAsia="Arial"/>
          <w:b/>
          <w:sz w:val="22"/>
          <w:szCs w:val="22"/>
        </w:rPr>
        <w:t xml:space="preserve">E            </w:t>
      </w:r>
      <w:r w:rsidR="009657D4" w:rsidRPr="009F0D1D">
        <w:rPr>
          <w:rFonts w:eastAsia="Arial"/>
          <w:b/>
          <w:sz w:val="22"/>
          <w:szCs w:val="22"/>
        </w:rPr>
        <w:t>UNION EUROPÉENN</w:t>
      </w:r>
      <w:r w:rsidR="00320417" w:rsidRPr="009F0D1D">
        <w:rPr>
          <w:rFonts w:eastAsia="Arial"/>
          <w:b/>
          <w:sz w:val="22"/>
          <w:szCs w:val="22"/>
        </w:rPr>
        <w:t>E</w:t>
      </w:r>
      <w:r w:rsidR="009657D4" w:rsidRPr="009F0D1D">
        <w:rPr>
          <w:rFonts w:eastAsia="Arial"/>
          <w:b/>
          <w:sz w:val="22"/>
          <w:szCs w:val="22"/>
        </w:rPr>
        <w:t xml:space="preserve">    </w:t>
      </w:r>
      <w:r w:rsidRPr="009F0D1D">
        <w:rPr>
          <w:rFonts w:eastAsia="Arial"/>
          <w:b/>
          <w:sz w:val="22"/>
          <w:szCs w:val="22"/>
        </w:rPr>
        <w:tab/>
      </w:r>
      <w:r w:rsidR="009F0D1D">
        <w:rPr>
          <w:rFonts w:eastAsia="Arial"/>
          <w:b/>
          <w:sz w:val="22"/>
          <w:szCs w:val="22"/>
        </w:rPr>
        <w:t xml:space="preserve">     </w:t>
      </w:r>
      <w:r w:rsidRPr="009F0D1D">
        <w:rPr>
          <w:rFonts w:eastAsia="Arial"/>
          <w:b/>
          <w:spacing w:val="1"/>
          <w:sz w:val="22"/>
          <w:szCs w:val="22"/>
        </w:rPr>
        <w:t>G</w:t>
      </w:r>
      <w:r w:rsidRPr="009F0D1D">
        <w:rPr>
          <w:rFonts w:eastAsia="Arial"/>
          <w:b/>
          <w:spacing w:val="-1"/>
          <w:sz w:val="22"/>
          <w:szCs w:val="22"/>
        </w:rPr>
        <w:t>R</w:t>
      </w:r>
      <w:r w:rsidRPr="009F0D1D">
        <w:rPr>
          <w:rFonts w:eastAsia="Arial"/>
          <w:b/>
          <w:spacing w:val="1"/>
          <w:sz w:val="22"/>
          <w:szCs w:val="22"/>
        </w:rPr>
        <w:t>O</w:t>
      </w:r>
      <w:r w:rsidRPr="009F0D1D">
        <w:rPr>
          <w:rFonts w:eastAsia="Arial"/>
          <w:b/>
          <w:spacing w:val="-1"/>
          <w:sz w:val="22"/>
          <w:szCs w:val="22"/>
        </w:rPr>
        <w:t>UP</w:t>
      </w:r>
      <w:r w:rsidRPr="009F0D1D">
        <w:rPr>
          <w:rFonts w:eastAsia="Arial"/>
          <w:b/>
          <w:sz w:val="22"/>
          <w:szCs w:val="22"/>
        </w:rPr>
        <w:t xml:space="preserve">E </w:t>
      </w:r>
      <w:r w:rsidRPr="009F0D1D">
        <w:rPr>
          <w:rFonts w:eastAsia="Arial"/>
          <w:b/>
          <w:spacing w:val="-1"/>
          <w:sz w:val="22"/>
          <w:szCs w:val="22"/>
        </w:rPr>
        <w:t>D</w:t>
      </w:r>
      <w:r w:rsidRPr="009F0D1D">
        <w:rPr>
          <w:rFonts w:eastAsia="Arial"/>
          <w:b/>
          <w:sz w:val="22"/>
          <w:szCs w:val="22"/>
        </w:rPr>
        <w:t>E LA</w:t>
      </w:r>
      <w:r w:rsidRPr="009F0D1D">
        <w:rPr>
          <w:rFonts w:eastAsia="Arial"/>
          <w:b/>
          <w:spacing w:val="-1"/>
          <w:sz w:val="22"/>
          <w:szCs w:val="22"/>
        </w:rPr>
        <w:t xml:space="preserve"> B</w:t>
      </w:r>
      <w:r w:rsidRPr="009F0D1D">
        <w:rPr>
          <w:rFonts w:eastAsia="Arial"/>
          <w:b/>
          <w:spacing w:val="-8"/>
          <w:sz w:val="22"/>
          <w:szCs w:val="22"/>
        </w:rPr>
        <w:t>A</w:t>
      </w:r>
      <w:r w:rsidRPr="009F0D1D">
        <w:rPr>
          <w:rFonts w:eastAsia="Arial"/>
          <w:b/>
          <w:spacing w:val="-1"/>
          <w:sz w:val="22"/>
          <w:szCs w:val="22"/>
        </w:rPr>
        <w:t>N</w:t>
      </w:r>
      <w:r w:rsidRPr="009F0D1D">
        <w:rPr>
          <w:rFonts w:eastAsia="Arial"/>
          <w:b/>
          <w:spacing w:val="1"/>
          <w:sz w:val="22"/>
          <w:szCs w:val="22"/>
        </w:rPr>
        <w:t>Q</w:t>
      </w:r>
      <w:r w:rsidRPr="009F0D1D">
        <w:rPr>
          <w:rFonts w:eastAsia="Arial"/>
          <w:b/>
          <w:spacing w:val="-1"/>
          <w:sz w:val="22"/>
          <w:szCs w:val="22"/>
        </w:rPr>
        <w:t>U</w:t>
      </w:r>
      <w:r w:rsidRPr="009F0D1D">
        <w:rPr>
          <w:rFonts w:eastAsia="Arial"/>
          <w:b/>
          <w:sz w:val="22"/>
          <w:szCs w:val="22"/>
        </w:rPr>
        <w:t xml:space="preserve">E </w:t>
      </w:r>
    </w:p>
    <w:p w14:paraId="55D307D4" w14:textId="428E29AC" w:rsidR="008019A7" w:rsidRDefault="00656045" w:rsidP="00E45D48">
      <w:pPr>
        <w:spacing w:before="32" w:line="245" w:lineRule="auto"/>
        <w:ind w:left="5040" w:right="-38" w:firstLine="720"/>
        <w:rPr>
          <w:rFonts w:eastAsia="Arial"/>
          <w:b/>
          <w:sz w:val="22"/>
          <w:szCs w:val="22"/>
        </w:rPr>
      </w:pPr>
      <w:r w:rsidRPr="009F0D1D">
        <w:rPr>
          <w:rFonts w:eastAsia="Arial"/>
          <w:b/>
          <w:spacing w:val="-8"/>
          <w:sz w:val="22"/>
          <w:szCs w:val="22"/>
        </w:rPr>
        <w:t xml:space="preserve">            </w:t>
      </w:r>
      <w:r w:rsidR="009F0D1D">
        <w:rPr>
          <w:rFonts w:eastAsia="Arial"/>
          <w:b/>
          <w:spacing w:val="-8"/>
          <w:sz w:val="22"/>
          <w:szCs w:val="22"/>
        </w:rPr>
        <w:t xml:space="preserve"> </w:t>
      </w:r>
      <w:r w:rsidRPr="009F0D1D">
        <w:rPr>
          <w:rFonts w:eastAsia="Arial"/>
          <w:b/>
          <w:spacing w:val="-8"/>
          <w:sz w:val="22"/>
          <w:szCs w:val="22"/>
        </w:rPr>
        <w:t xml:space="preserve">     </w:t>
      </w:r>
      <w:r w:rsidR="008019A7" w:rsidRPr="009F0D1D">
        <w:rPr>
          <w:rFonts w:eastAsia="Arial"/>
          <w:b/>
          <w:spacing w:val="-8"/>
          <w:sz w:val="22"/>
          <w:szCs w:val="22"/>
        </w:rPr>
        <w:t>A</w:t>
      </w:r>
      <w:r w:rsidR="008019A7" w:rsidRPr="009F0D1D">
        <w:rPr>
          <w:rFonts w:eastAsia="Arial"/>
          <w:b/>
          <w:sz w:val="22"/>
          <w:szCs w:val="22"/>
        </w:rPr>
        <w:t>F</w:t>
      </w:r>
      <w:r w:rsidR="008019A7" w:rsidRPr="009F0D1D">
        <w:rPr>
          <w:rFonts w:eastAsia="Arial"/>
          <w:b/>
          <w:spacing w:val="-2"/>
          <w:sz w:val="22"/>
          <w:szCs w:val="22"/>
        </w:rPr>
        <w:t>R</w:t>
      </w:r>
      <w:r w:rsidR="008019A7" w:rsidRPr="009F0D1D">
        <w:rPr>
          <w:rFonts w:eastAsia="Arial"/>
          <w:b/>
          <w:spacing w:val="1"/>
          <w:sz w:val="22"/>
          <w:szCs w:val="22"/>
        </w:rPr>
        <w:t>I</w:t>
      </w:r>
      <w:r w:rsidR="008019A7" w:rsidRPr="009F0D1D">
        <w:rPr>
          <w:rFonts w:eastAsia="Arial"/>
          <w:b/>
          <w:spacing w:val="-1"/>
          <w:sz w:val="22"/>
          <w:szCs w:val="22"/>
        </w:rPr>
        <w:t>C</w:t>
      </w:r>
      <w:r w:rsidR="008019A7" w:rsidRPr="009F0D1D">
        <w:rPr>
          <w:rFonts w:eastAsia="Arial"/>
          <w:b/>
          <w:spacing w:val="-8"/>
          <w:sz w:val="22"/>
          <w:szCs w:val="22"/>
        </w:rPr>
        <w:t>A</w:t>
      </w:r>
      <w:r w:rsidR="008019A7" w:rsidRPr="009F0D1D">
        <w:rPr>
          <w:rFonts w:eastAsia="Arial"/>
          <w:b/>
          <w:spacing w:val="1"/>
          <w:sz w:val="22"/>
          <w:szCs w:val="22"/>
        </w:rPr>
        <w:t>I</w:t>
      </w:r>
      <w:r w:rsidR="008019A7" w:rsidRPr="009F0D1D">
        <w:rPr>
          <w:rFonts w:eastAsia="Arial"/>
          <w:b/>
          <w:spacing w:val="-1"/>
          <w:sz w:val="22"/>
          <w:szCs w:val="22"/>
        </w:rPr>
        <w:t>N</w:t>
      </w:r>
      <w:r w:rsidR="008019A7" w:rsidRPr="009F0D1D">
        <w:rPr>
          <w:rFonts w:eastAsia="Arial"/>
          <w:b/>
          <w:sz w:val="22"/>
          <w:szCs w:val="22"/>
        </w:rPr>
        <w:t xml:space="preserve">E DE </w:t>
      </w:r>
      <w:r w:rsidR="008019A7" w:rsidRPr="009F0D1D">
        <w:rPr>
          <w:rFonts w:eastAsia="Arial"/>
          <w:b/>
          <w:spacing w:val="-1"/>
          <w:sz w:val="22"/>
          <w:szCs w:val="22"/>
        </w:rPr>
        <w:t>DEVE</w:t>
      </w:r>
      <w:r w:rsidR="008019A7" w:rsidRPr="009F0D1D">
        <w:rPr>
          <w:rFonts w:eastAsia="Arial"/>
          <w:b/>
          <w:sz w:val="22"/>
          <w:szCs w:val="22"/>
        </w:rPr>
        <w:t>LOP</w:t>
      </w:r>
      <w:r w:rsidR="008019A7" w:rsidRPr="009F0D1D">
        <w:rPr>
          <w:rFonts w:eastAsia="Arial"/>
          <w:b/>
          <w:spacing w:val="-1"/>
          <w:sz w:val="22"/>
          <w:szCs w:val="22"/>
        </w:rPr>
        <w:t>PE</w:t>
      </w:r>
      <w:r w:rsidR="008019A7" w:rsidRPr="009F0D1D">
        <w:rPr>
          <w:rFonts w:eastAsia="Arial"/>
          <w:b/>
          <w:spacing w:val="1"/>
          <w:sz w:val="22"/>
          <w:szCs w:val="22"/>
        </w:rPr>
        <w:t>M</w:t>
      </w:r>
      <w:r w:rsidR="008019A7" w:rsidRPr="009F0D1D">
        <w:rPr>
          <w:rFonts w:eastAsia="Arial"/>
          <w:b/>
          <w:spacing w:val="-1"/>
          <w:sz w:val="22"/>
          <w:szCs w:val="22"/>
        </w:rPr>
        <w:t>EN</w:t>
      </w:r>
      <w:r w:rsidR="008019A7" w:rsidRPr="009F0D1D">
        <w:rPr>
          <w:rFonts w:eastAsia="Arial"/>
          <w:b/>
          <w:sz w:val="22"/>
          <w:szCs w:val="22"/>
        </w:rPr>
        <w:t>T</w:t>
      </w:r>
    </w:p>
    <w:p w14:paraId="6D36FCBC" w14:textId="77777777" w:rsidR="004018DF" w:rsidRPr="009F0D1D" w:rsidRDefault="004018DF" w:rsidP="00E45D48">
      <w:pPr>
        <w:spacing w:before="32" w:line="245" w:lineRule="auto"/>
        <w:ind w:left="5040" w:right="-38" w:firstLine="720"/>
        <w:rPr>
          <w:rFonts w:eastAsia="Arial"/>
          <w:b/>
          <w:spacing w:val="-8"/>
          <w:sz w:val="22"/>
          <w:szCs w:val="22"/>
        </w:rPr>
      </w:pPr>
    </w:p>
    <w:bookmarkEnd w:id="0"/>
    <w:p w14:paraId="1BE0462E" w14:textId="77777777" w:rsidR="008019A7" w:rsidRPr="009F0D1D" w:rsidRDefault="008019A7" w:rsidP="008019A7">
      <w:pPr>
        <w:spacing w:line="245" w:lineRule="auto"/>
        <w:ind w:right="-38"/>
        <w:jc w:val="center"/>
        <w:rPr>
          <w:rFonts w:eastAsia="Arial"/>
          <w:b/>
          <w:spacing w:val="1"/>
          <w:sz w:val="24"/>
          <w:szCs w:val="24"/>
        </w:rPr>
      </w:pPr>
    </w:p>
    <w:p w14:paraId="05F11759" w14:textId="237FAE90" w:rsidR="008019A7" w:rsidRDefault="001C7183" w:rsidP="005D7B02">
      <w:pPr>
        <w:ind w:right="-38"/>
        <w:jc w:val="center"/>
        <w:rPr>
          <w:rFonts w:eastAsia="Arial"/>
          <w:b/>
          <w:sz w:val="24"/>
          <w:szCs w:val="24"/>
        </w:rPr>
      </w:pPr>
      <w:r w:rsidRPr="009F0D1D">
        <w:rPr>
          <w:rFonts w:eastAsia="Arial"/>
          <w:b/>
          <w:spacing w:val="1"/>
          <w:sz w:val="24"/>
          <w:szCs w:val="24"/>
        </w:rPr>
        <w:t>MI</w:t>
      </w:r>
      <w:r w:rsidRPr="009F0D1D">
        <w:rPr>
          <w:rFonts w:eastAsia="Arial"/>
          <w:b/>
          <w:sz w:val="24"/>
          <w:szCs w:val="24"/>
        </w:rPr>
        <w:t>NIS</w:t>
      </w:r>
      <w:r w:rsidRPr="009F0D1D">
        <w:rPr>
          <w:rFonts w:eastAsia="Arial"/>
          <w:b/>
          <w:spacing w:val="1"/>
          <w:sz w:val="24"/>
          <w:szCs w:val="24"/>
        </w:rPr>
        <w:t>T</w:t>
      </w:r>
      <w:r w:rsidRPr="009F0D1D">
        <w:rPr>
          <w:rFonts w:eastAsia="Arial"/>
          <w:b/>
          <w:sz w:val="24"/>
          <w:szCs w:val="24"/>
        </w:rPr>
        <w:t>ÈRE</w:t>
      </w:r>
      <w:r w:rsidR="00DA7F78" w:rsidRPr="009F0D1D">
        <w:rPr>
          <w:rFonts w:eastAsia="Arial"/>
          <w:b/>
          <w:sz w:val="24"/>
          <w:szCs w:val="24"/>
        </w:rPr>
        <w:t xml:space="preserve"> </w:t>
      </w:r>
      <w:r w:rsidR="008019A7" w:rsidRPr="009F0D1D">
        <w:rPr>
          <w:rFonts w:eastAsia="Arial"/>
          <w:b/>
          <w:sz w:val="24"/>
          <w:szCs w:val="24"/>
        </w:rPr>
        <w:t>D</w:t>
      </w:r>
      <w:r w:rsidR="008019A7" w:rsidRPr="009F0D1D">
        <w:rPr>
          <w:rFonts w:eastAsia="Arial"/>
          <w:b/>
          <w:spacing w:val="-1"/>
          <w:sz w:val="24"/>
          <w:szCs w:val="24"/>
        </w:rPr>
        <w:t>E</w:t>
      </w:r>
      <w:r w:rsidR="008019A7" w:rsidRPr="009F0D1D">
        <w:rPr>
          <w:rFonts w:eastAsia="Arial"/>
          <w:b/>
          <w:sz w:val="24"/>
          <w:szCs w:val="24"/>
        </w:rPr>
        <w:t xml:space="preserve">S INFRASTRUCTURES </w:t>
      </w:r>
    </w:p>
    <w:p w14:paraId="0FF36CA3" w14:textId="77777777" w:rsidR="004018DF" w:rsidRPr="009F0D1D" w:rsidRDefault="004018DF" w:rsidP="005D7B02">
      <w:pPr>
        <w:ind w:right="-38"/>
        <w:jc w:val="center"/>
        <w:rPr>
          <w:rFonts w:eastAsia="Arial"/>
          <w:b/>
          <w:sz w:val="24"/>
          <w:szCs w:val="24"/>
        </w:rPr>
      </w:pPr>
    </w:p>
    <w:p w14:paraId="0D19737F" w14:textId="77777777" w:rsidR="008019A7" w:rsidRPr="009F0D1D" w:rsidRDefault="008019A7" w:rsidP="005D7B02">
      <w:pPr>
        <w:ind w:right="-38"/>
        <w:jc w:val="center"/>
        <w:rPr>
          <w:rFonts w:eastAsia="Arial"/>
          <w:b/>
          <w:sz w:val="24"/>
          <w:szCs w:val="24"/>
        </w:rPr>
      </w:pPr>
    </w:p>
    <w:p w14:paraId="0D8B98F9" w14:textId="5CE79E04" w:rsidR="008019A7" w:rsidRDefault="00000F6D" w:rsidP="005D7B02">
      <w:pPr>
        <w:ind w:right="-38"/>
        <w:jc w:val="center"/>
        <w:rPr>
          <w:rFonts w:eastAsia="Arial"/>
          <w:b/>
          <w:sz w:val="24"/>
          <w:szCs w:val="24"/>
        </w:rPr>
      </w:pPr>
      <w:r w:rsidRPr="009F0D1D">
        <w:rPr>
          <w:rFonts w:eastAsia="Arial"/>
          <w:b/>
          <w:sz w:val="24"/>
          <w:szCs w:val="24"/>
        </w:rPr>
        <w:t xml:space="preserve">AGENCE DE GESTION DES ROUTES DE </w:t>
      </w:r>
      <w:r w:rsidR="0077114D" w:rsidRPr="009F0D1D">
        <w:rPr>
          <w:rFonts w:eastAsia="Arial"/>
          <w:b/>
          <w:sz w:val="24"/>
          <w:szCs w:val="24"/>
        </w:rPr>
        <w:t>(AGEROUTE-SA</w:t>
      </w:r>
      <w:r w:rsidR="00E817C9" w:rsidRPr="009F0D1D">
        <w:rPr>
          <w:rFonts w:eastAsia="Arial"/>
          <w:b/>
          <w:sz w:val="24"/>
          <w:szCs w:val="24"/>
        </w:rPr>
        <w:t>)</w:t>
      </w:r>
    </w:p>
    <w:p w14:paraId="3EF02032" w14:textId="77777777" w:rsidR="004018DF" w:rsidRPr="009F0D1D" w:rsidRDefault="004018DF" w:rsidP="005D7B02">
      <w:pPr>
        <w:ind w:right="-38"/>
        <w:jc w:val="center"/>
        <w:rPr>
          <w:rFonts w:eastAsia="Arial"/>
          <w:b/>
          <w:sz w:val="24"/>
          <w:szCs w:val="24"/>
        </w:rPr>
      </w:pPr>
    </w:p>
    <w:p w14:paraId="6FDBC646" w14:textId="77777777" w:rsidR="002B71ED" w:rsidRPr="009F0D1D" w:rsidRDefault="002B71ED" w:rsidP="005D7B02">
      <w:pPr>
        <w:ind w:right="-38"/>
        <w:jc w:val="center"/>
        <w:rPr>
          <w:rFonts w:eastAsia="Arial"/>
          <w:b/>
          <w:sz w:val="24"/>
          <w:szCs w:val="24"/>
        </w:rPr>
      </w:pPr>
    </w:p>
    <w:p w14:paraId="603ED9A7" w14:textId="12FAE72C" w:rsidR="00BD0A03" w:rsidRDefault="008019A7" w:rsidP="002B71ED">
      <w:pPr>
        <w:ind w:right="-38"/>
        <w:jc w:val="center"/>
        <w:rPr>
          <w:rFonts w:eastAsia="Arial"/>
          <w:b/>
          <w:sz w:val="24"/>
          <w:szCs w:val="24"/>
        </w:rPr>
      </w:pPr>
      <w:r w:rsidRPr="009F0D1D">
        <w:rPr>
          <w:rFonts w:eastAsia="Arial"/>
          <w:b/>
          <w:sz w:val="24"/>
          <w:szCs w:val="24"/>
        </w:rPr>
        <w:t>UNITE DE GESTION DES PROJETS TRANSPORTS (UGP</w:t>
      </w:r>
      <w:r w:rsidR="00835732" w:rsidRPr="009F0D1D">
        <w:rPr>
          <w:rFonts w:eastAsia="Arial"/>
          <w:b/>
          <w:sz w:val="24"/>
          <w:szCs w:val="24"/>
        </w:rPr>
        <w:t>-</w:t>
      </w:r>
      <w:r w:rsidRPr="009F0D1D">
        <w:rPr>
          <w:rFonts w:eastAsia="Arial"/>
          <w:b/>
          <w:sz w:val="24"/>
          <w:szCs w:val="24"/>
        </w:rPr>
        <w:t xml:space="preserve"> BAD)</w:t>
      </w:r>
    </w:p>
    <w:p w14:paraId="07C13A84" w14:textId="77777777" w:rsidR="004018DF" w:rsidRPr="009F0D1D" w:rsidRDefault="004018DF" w:rsidP="002B71ED">
      <w:pPr>
        <w:ind w:right="-38"/>
        <w:jc w:val="center"/>
        <w:rPr>
          <w:rFonts w:eastAsia="Arial"/>
          <w:b/>
          <w:sz w:val="24"/>
          <w:szCs w:val="24"/>
        </w:rPr>
      </w:pPr>
    </w:p>
    <w:p w14:paraId="216AF81A" w14:textId="77777777" w:rsidR="002B71ED" w:rsidRPr="009F0D1D" w:rsidRDefault="002B71ED" w:rsidP="003D0267">
      <w:pPr>
        <w:pStyle w:val="Titre1"/>
        <w:numPr>
          <w:ilvl w:val="0"/>
          <w:numId w:val="0"/>
        </w:numPr>
        <w:shd w:val="clear" w:color="auto" w:fill="FFFFFF" w:themeFill="background1"/>
        <w:spacing w:after="0"/>
        <w:ind w:left="432" w:right="827"/>
        <w:jc w:val="center"/>
        <w:rPr>
          <w:rFonts w:ascii="Times New Roman" w:eastAsia="Arial" w:hAnsi="Times New Roman" w:cs="Times New Roman"/>
          <w:kern w:val="0"/>
          <w:sz w:val="24"/>
          <w:szCs w:val="24"/>
        </w:rPr>
      </w:pPr>
      <w:r w:rsidRPr="009F0D1D">
        <w:rPr>
          <w:rFonts w:ascii="Times New Roman" w:eastAsia="Arial" w:hAnsi="Times New Roman" w:cs="Times New Roman"/>
          <w:kern w:val="0"/>
          <w:sz w:val="24"/>
          <w:szCs w:val="24"/>
        </w:rPr>
        <w:t>PROJET DE RECONSTRUCTION DE LA ROUTE COYAH- FARMORÉAH- FRONTIÈRE DE SIERRA LEONE</w:t>
      </w:r>
      <w:r w:rsidRPr="009F0D1D" w:rsidDel="00B81CFC">
        <w:rPr>
          <w:rFonts w:ascii="Times New Roman" w:eastAsia="Arial" w:hAnsi="Times New Roman" w:cs="Times New Roman"/>
          <w:kern w:val="0"/>
          <w:sz w:val="24"/>
          <w:szCs w:val="24"/>
        </w:rPr>
        <w:t xml:space="preserve"> </w:t>
      </w:r>
      <w:r w:rsidRPr="009F0D1D">
        <w:rPr>
          <w:rFonts w:ascii="Times New Roman" w:eastAsia="Arial" w:hAnsi="Times New Roman" w:cs="Times New Roman"/>
          <w:kern w:val="0"/>
          <w:sz w:val="24"/>
          <w:szCs w:val="24"/>
        </w:rPr>
        <w:t xml:space="preserve"> </w:t>
      </w:r>
    </w:p>
    <w:p w14:paraId="42069E7D" w14:textId="77777777" w:rsidR="002B71ED" w:rsidRPr="009F0D1D" w:rsidRDefault="002B71ED" w:rsidP="002B71ED">
      <w:pPr>
        <w:rPr>
          <w:rFonts w:eastAsia="Arial"/>
          <w:sz w:val="24"/>
          <w:szCs w:val="24"/>
        </w:rPr>
      </w:pPr>
    </w:p>
    <w:p w14:paraId="41B55861" w14:textId="374332C3" w:rsidR="00C4243C" w:rsidRPr="009F0D1D" w:rsidRDefault="00835732" w:rsidP="00AE20BB">
      <w:pPr>
        <w:pStyle w:val="Paragraphedeliste"/>
        <w:spacing w:after="0"/>
        <w:ind w:left="0"/>
        <w:rPr>
          <w:rFonts w:eastAsia="Arial"/>
          <w:b/>
        </w:rPr>
      </w:pPr>
      <w:r w:rsidRPr="009F0D1D">
        <w:rPr>
          <w:rFonts w:eastAsia="Arial"/>
          <w:b/>
        </w:rPr>
        <w:t xml:space="preserve"> </w:t>
      </w:r>
    </w:p>
    <w:p w14:paraId="637EF984" w14:textId="77777777" w:rsidR="008019A7" w:rsidRPr="009F0D1D" w:rsidRDefault="008019A7" w:rsidP="008019A7">
      <w:pPr>
        <w:pStyle w:val="Default"/>
        <w:jc w:val="center"/>
        <w:rPr>
          <w:rFonts w:ascii="Times New Roman" w:hAnsi="Times New Roman" w:cs="Times New Roman"/>
          <w:b/>
          <w:color w:val="auto"/>
        </w:rPr>
      </w:pPr>
      <w:r w:rsidRPr="009F0D1D">
        <w:rPr>
          <w:rFonts w:ascii="Times New Roman" w:hAnsi="Times New Roman" w:cs="Times New Roman"/>
          <w:b/>
          <w:color w:val="auto"/>
        </w:rPr>
        <w:t>AVIS A MANIFESTATION D’INTERET</w:t>
      </w:r>
    </w:p>
    <w:p w14:paraId="19373A29" w14:textId="79A47218" w:rsidR="008019A7" w:rsidRPr="009F0D1D" w:rsidRDefault="008019A7" w:rsidP="008019A7">
      <w:pPr>
        <w:pStyle w:val="Default"/>
        <w:jc w:val="center"/>
        <w:rPr>
          <w:rFonts w:ascii="Times New Roman" w:hAnsi="Times New Roman" w:cs="Times New Roman"/>
        </w:rPr>
      </w:pPr>
      <w:r w:rsidRPr="009F0D1D">
        <w:rPr>
          <w:rFonts w:ascii="Times New Roman" w:hAnsi="Times New Roman" w:cs="Times New Roman"/>
        </w:rPr>
        <w:t xml:space="preserve">(SERVICE DE CONSULTANTS </w:t>
      </w:r>
      <w:r w:rsidR="0011545F" w:rsidRPr="009F0D1D">
        <w:rPr>
          <w:rFonts w:ascii="Times New Roman" w:hAnsi="Times New Roman" w:cs="Times New Roman"/>
        </w:rPr>
        <w:t>–</w:t>
      </w:r>
      <w:r w:rsidRPr="009F0D1D">
        <w:rPr>
          <w:rFonts w:ascii="Times New Roman" w:hAnsi="Times New Roman" w:cs="Times New Roman"/>
        </w:rPr>
        <w:t xml:space="preserve"> </w:t>
      </w:r>
      <w:r w:rsidR="0011545F" w:rsidRPr="009F0D1D">
        <w:rPr>
          <w:rFonts w:ascii="Times New Roman" w:hAnsi="Times New Roman" w:cs="Times New Roman"/>
        </w:rPr>
        <w:t>CABINETS/</w:t>
      </w:r>
      <w:r w:rsidRPr="009F0D1D">
        <w:rPr>
          <w:rFonts w:ascii="Times New Roman" w:hAnsi="Times New Roman" w:cs="Times New Roman"/>
        </w:rPr>
        <w:t>FIRMES)</w:t>
      </w:r>
    </w:p>
    <w:p w14:paraId="08C4EDCA" w14:textId="77777777" w:rsidR="00B50BDF" w:rsidRPr="009F0D1D" w:rsidRDefault="00B50BDF" w:rsidP="008019A7">
      <w:pPr>
        <w:pStyle w:val="Default"/>
        <w:jc w:val="center"/>
        <w:rPr>
          <w:rFonts w:ascii="Times New Roman" w:hAnsi="Times New Roman" w:cs="Times New Roman"/>
        </w:rPr>
      </w:pPr>
    </w:p>
    <w:p w14:paraId="16CD77F0" w14:textId="77777777" w:rsidR="008019A7" w:rsidRPr="009F0D1D" w:rsidRDefault="008019A7" w:rsidP="00AE20BB">
      <w:pPr>
        <w:pStyle w:val="Paragraphedeliste"/>
        <w:spacing w:after="0"/>
        <w:ind w:left="0"/>
      </w:pPr>
    </w:p>
    <w:p w14:paraId="6B63130D" w14:textId="77777777" w:rsidR="002B71ED" w:rsidRPr="009F0D1D" w:rsidRDefault="002B71ED" w:rsidP="004018DF">
      <w:pPr>
        <w:spacing w:line="360" w:lineRule="auto"/>
        <w:rPr>
          <w:spacing w:val="-4"/>
          <w:sz w:val="24"/>
          <w:szCs w:val="24"/>
        </w:rPr>
      </w:pPr>
      <w:r w:rsidRPr="009F0D1D">
        <w:rPr>
          <w:spacing w:val="-4"/>
          <w:sz w:val="24"/>
          <w:szCs w:val="24"/>
        </w:rPr>
        <w:t xml:space="preserve">Secteur : </w:t>
      </w:r>
      <w:r w:rsidRPr="009F0D1D">
        <w:rPr>
          <w:b/>
          <w:bCs/>
          <w:spacing w:val="-4"/>
          <w:sz w:val="24"/>
          <w:szCs w:val="24"/>
        </w:rPr>
        <w:t>Transport</w:t>
      </w:r>
    </w:p>
    <w:p w14:paraId="454DA50B" w14:textId="312C77F3" w:rsidR="002B71ED" w:rsidRPr="009F0D1D" w:rsidRDefault="002B71ED" w:rsidP="004018DF">
      <w:pPr>
        <w:spacing w:line="360" w:lineRule="auto"/>
        <w:ind w:right="827"/>
        <w:rPr>
          <w:spacing w:val="-2"/>
          <w:sz w:val="24"/>
          <w:szCs w:val="24"/>
          <w:lang w:eastAsia="ar-SA"/>
        </w:rPr>
      </w:pPr>
      <w:r w:rsidRPr="009F0D1D">
        <w:rPr>
          <w:spacing w:val="-4"/>
          <w:sz w:val="24"/>
          <w:szCs w:val="24"/>
        </w:rPr>
        <w:t xml:space="preserve">Référence de l’accord des financements : </w:t>
      </w:r>
      <w:r w:rsidRPr="009F0D1D">
        <w:rPr>
          <w:b/>
          <w:spacing w:val="-4"/>
          <w:sz w:val="24"/>
          <w:szCs w:val="24"/>
        </w:rPr>
        <w:t>DON FAD N° : 2100155035816</w:t>
      </w:r>
      <w:r w:rsidRPr="009F0D1D">
        <w:rPr>
          <w:spacing w:val="-4"/>
          <w:sz w:val="24"/>
          <w:szCs w:val="24"/>
        </w:rPr>
        <w:t xml:space="preserve">, </w:t>
      </w:r>
      <w:r w:rsidRPr="009F0D1D">
        <w:rPr>
          <w:b/>
          <w:spacing w:val="-4"/>
          <w:sz w:val="24"/>
          <w:szCs w:val="24"/>
        </w:rPr>
        <w:t>Prêt FAD N° : 2100150038293</w:t>
      </w:r>
      <w:r w:rsidR="00D834A0" w:rsidRPr="009F0D1D">
        <w:rPr>
          <w:b/>
          <w:spacing w:val="-4"/>
          <w:sz w:val="24"/>
          <w:szCs w:val="24"/>
        </w:rPr>
        <w:t xml:space="preserve">, </w:t>
      </w:r>
      <w:r w:rsidRPr="009F0D1D">
        <w:rPr>
          <w:b/>
          <w:spacing w:val="-4"/>
          <w:sz w:val="24"/>
          <w:szCs w:val="24"/>
        </w:rPr>
        <w:t>Don (AfIF) N° : 5110155000257</w:t>
      </w:r>
    </w:p>
    <w:p w14:paraId="35C45AEC" w14:textId="200081DF" w:rsidR="002B71ED" w:rsidRPr="009F0D1D" w:rsidRDefault="002B71ED" w:rsidP="004018DF">
      <w:pPr>
        <w:spacing w:line="360" w:lineRule="auto"/>
        <w:jc w:val="both"/>
        <w:rPr>
          <w:b/>
          <w:bCs/>
          <w:sz w:val="24"/>
          <w:szCs w:val="24"/>
        </w:rPr>
      </w:pPr>
      <w:r w:rsidRPr="009F0D1D">
        <w:rPr>
          <w:sz w:val="24"/>
          <w:szCs w:val="24"/>
        </w:rPr>
        <w:t xml:space="preserve">N° d’Identification du projet : </w:t>
      </w:r>
      <w:r w:rsidRPr="009F0D1D">
        <w:rPr>
          <w:b/>
          <w:bCs/>
          <w:sz w:val="24"/>
          <w:szCs w:val="24"/>
        </w:rPr>
        <w:t xml:space="preserve">P-Z1-DB0-160 </w:t>
      </w:r>
    </w:p>
    <w:p w14:paraId="5B4B0E7A" w14:textId="3370CBA2" w:rsidR="00FC37A4" w:rsidRPr="009F0D1D" w:rsidRDefault="00B47D62" w:rsidP="004018DF">
      <w:pPr>
        <w:spacing w:line="360" w:lineRule="auto"/>
        <w:jc w:val="both"/>
        <w:rPr>
          <w:color w:val="000000"/>
          <w:sz w:val="24"/>
          <w:szCs w:val="24"/>
        </w:rPr>
      </w:pPr>
      <w:r w:rsidRPr="009F0D1D">
        <w:rPr>
          <w:b/>
          <w:sz w:val="24"/>
          <w:szCs w:val="24"/>
        </w:rPr>
        <w:t>Intitulé de la mission :</w:t>
      </w:r>
      <w:r w:rsidRPr="009F0D1D">
        <w:rPr>
          <w:sz w:val="24"/>
          <w:szCs w:val="24"/>
        </w:rPr>
        <w:t xml:space="preserve"> </w:t>
      </w:r>
      <w:bookmarkStart w:id="1" w:name="_Hlk150415713"/>
      <w:bookmarkStart w:id="2" w:name="_Hlk191027359"/>
      <w:r w:rsidR="00D33808" w:rsidRPr="009F0D1D">
        <w:rPr>
          <w:color w:val="000000"/>
          <w:sz w:val="24"/>
          <w:szCs w:val="24"/>
        </w:rPr>
        <w:t>E</w:t>
      </w:r>
      <w:r w:rsidR="00B50BDF" w:rsidRPr="009F0D1D">
        <w:rPr>
          <w:color w:val="000000"/>
          <w:sz w:val="24"/>
          <w:szCs w:val="24"/>
        </w:rPr>
        <w:t xml:space="preserve">tudes techniques </w:t>
      </w:r>
      <w:r w:rsidR="00541381" w:rsidRPr="009F0D1D">
        <w:rPr>
          <w:color w:val="000000"/>
          <w:sz w:val="24"/>
          <w:szCs w:val="24"/>
        </w:rPr>
        <w:t xml:space="preserve">routières </w:t>
      </w:r>
      <w:bookmarkEnd w:id="1"/>
      <w:r w:rsidR="00A36ED2" w:rsidRPr="009F0D1D">
        <w:rPr>
          <w:color w:val="000000"/>
          <w:sz w:val="24"/>
          <w:szCs w:val="24"/>
        </w:rPr>
        <w:t>de 2</w:t>
      </w:r>
      <w:r w:rsidR="002B71ED" w:rsidRPr="009F0D1D">
        <w:rPr>
          <w:color w:val="000000"/>
          <w:sz w:val="24"/>
          <w:szCs w:val="24"/>
        </w:rPr>
        <w:t xml:space="preserve"> </w:t>
      </w:r>
      <w:r w:rsidR="00A36ED2" w:rsidRPr="009F0D1D">
        <w:rPr>
          <w:color w:val="000000"/>
          <w:sz w:val="24"/>
          <w:szCs w:val="24"/>
        </w:rPr>
        <w:t xml:space="preserve">268 </w:t>
      </w:r>
      <w:r w:rsidR="00A110BB" w:rsidRPr="009F0D1D">
        <w:rPr>
          <w:color w:val="000000"/>
          <w:sz w:val="24"/>
          <w:szCs w:val="24"/>
        </w:rPr>
        <w:t>km</w:t>
      </w:r>
      <w:bookmarkEnd w:id="2"/>
      <w:r w:rsidR="00A110BB" w:rsidRPr="009F0D1D">
        <w:rPr>
          <w:color w:val="000000"/>
          <w:sz w:val="24"/>
          <w:szCs w:val="24"/>
        </w:rPr>
        <w:t>.</w:t>
      </w:r>
    </w:p>
    <w:p w14:paraId="035680B9" w14:textId="099FF137" w:rsidR="002B71ED" w:rsidRPr="009F0D1D" w:rsidRDefault="002B71ED" w:rsidP="004018DF">
      <w:pPr>
        <w:pStyle w:val="Default"/>
        <w:spacing w:after="240" w:line="360" w:lineRule="auto"/>
        <w:jc w:val="both"/>
        <w:rPr>
          <w:rFonts w:ascii="Times New Roman" w:hAnsi="Times New Roman" w:cs="Times New Roman"/>
          <w:spacing w:val="-2"/>
        </w:rPr>
      </w:pPr>
      <w:r w:rsidRPr="009F0D1D">
        <w:rPr>
          <w:rFonts w:ascii="Times New Roman" w:eastAsia="Times New Roman" w:hAnsi="Times New Roman" w:cs="Times New Roman"/>
          <w:b/>
          <w:color w:val="auto"/>
        </w:rPr>
        <w:t>Référence de l’avis : N</w:t>
      </w:r>
      <w:r w:rsidR="00E01149" w:rsidRPr="009F0D1D">
        <w:rPr>
          <w:rFonts w:ascii="Times New Roman" w:eastAsia="Times New Roman" w:hAnsi="Times New Roman" w:cs="Times New Roman"/>
          <w:b/>
          <w:color w:val="auto"/>
        </w:rPr>
        <w:t>°</w:t>
      </w:r>
      <w:r w:rsidR="00E05C14" w:rsidRPr="009F0D1D">
        <w:rPr>
          <w:rFonts w:ascii="Times New Roman" w:eastAsia="Times New Roman" w:hAnsi="Times New Roman" w:cs="Times New Roman"/>
          <w:b/>
          <w:color w:val="auto"/>
        </w:rPr>
        <w:t>001</w:t>
      </w:r>
      <w:r w:rsidRPr="009F0D1D">
        <w:rPr>
          <w:rFonts w:ascii="Times New Roman" w:eastAsia="SimSun" w:hAnsi="Times New Roman" w:cs="Times New Roman"/>
          <w:b/>
          <w:caps/>
        </w:rPr>
        <w:t>C/mi/AGEROUTE/UGP-BAD/</w:t>
      </w:r>
      <w:r w:rsidR="00E01149" w:rsidRPr="009F0D1D">
        <w:rPr>
          <w:rFonts w:ascii="Times New Roman" w:eastAsia="SimSun" w:hAnsi="Times New Roman" w:cs="Times New Roman"/>
          <w:b/>
          <w:caps/>
        </w:rPr>
        <w:t xml:space="preserve">2026 </w:t>
      </w:r>
      <w:r w:rsidRPr="009F0D1D">
        <w:rPr>
          <w:rFonts w:ascii="Times New Roman" w:eastAsia="SimSun" w:hAnsi="Times New Roman" w:cs="Times New Roman"/>
          <w:b/>
        </w:rPr>
        <w:t>du </w:t>
      </w:r>
      <w:r w:rsidR="005F000A" w:rsidRPr="009F0D1D">
        <w:rPr>
          <w:rFonts w:ascii="Times New Roman" w:eastAsia="SimSun" w:hAnsi="Times New Roman" w:cs="Times New Roman"/>
          <w:b/>
        </w:rPr>
        <w:t>0</w:t>
      </w:r>
      <w:r w:rsidR="005F000A">
        <w:rPr>
          <w:rFonts w:ascii="Times New Roman" w:eastAsia="SimSun" w:hAnsi="Times New Roman" w:cs="Times New Roman"/>
          <w:b/>
        </w:rPr>
        <w:t>4</w:t>
      </w:r>
      <w:r w:rsidR="005F000A" w:rsidRPr="009F0D1D">
        <w:rPr>
          <w:rFonts w:ascii="Times New Roman" w:eastAsia="SimSun" w:hAnsi="Times New Roman" w:cs="Times New Roman"/>
          <w:b/>
        </w:rPr>
        <w:t xml:space="preserve"> </w:t>
      </w:r>
      <w:r w:rsidR="005F000A">
        <w:rPr>
          <w:rFonts w:ascii="Times New Roman" w:eastAsia="SimSun" w:hAnsi="Times New Roman" w:cs="Times New Roman"/>
          <w:b/>
        </w:rPr>
        <w:t>Juin</w:t>
      </w:r>
      <w:r w:rsidR="005F000A" w:rsidRPr="009F0D1D">
        <w:rPr>
          <w:rFonts w:ascii="Times New Roman" w:eastAsia="SimSun" w:hAnsi="Times New Roman" w:cs="Times New Roman"/>
          <w:b/>
        </w:rPr>
        <w:t xml:space="preserve"> </w:t>
      </w:r>
      <w:r w:rsidR="00E05C14" w:rsidRPr="009F0D1D">
        <w:rPr>
          <w:rFonts w:ascii="Times New Roman" w:eastAsia="SimSun" w:hAnsi="Times New Roman" w:cs="Times New Roman"/>
          <w:b/>
        </w:rPr>
        <w:t>2026</w:t>
      </w:r>
    </w:p>
    <w:p w14:paraId="761A724B" w14:textId="4F375F17" w:rsidR="002B71ED" w:rsidRPr="009F0D1D" w:rsidRDefault="002B71ED" w:rsidP="004018DF">
      <w:pPr>
        <w:pStyle w:val="Default"/>
        <w:numPr>
          <w:ilvl w:val="0"/>
          <w:numId w:val="8"/>
        </w:numPr>
        <w:spacing w:after="240" w:line="360" w:lineRule="auto"/>
        <w:ind w:right="827"/>
        <w:jc w:val="both"/>
        <w:rPr>
          <w:rFonts w:ascii="Times New Roman" w:hAnsi="Times New Roman" w:cs="Times New Roman"/>
          <w:b/>
          <w:spacing w:val="-2"/>
        </w:rPr>
      </w:pPr>
      <w:r w:rsidRPr="009F0D1D">
        <w:rPr>
          <w:rFonts w:ascii="Times New Roman" w:hAnsi="Times New Roman" w:cs="Times New Roman"/>
          <w:spacing w:val="-2"/>
        </w:rPr>
        <w:t xml:space="preserve">Le Gouvernement de la République de Guinée a reçu un financement du Groupe de la Banque Africaine de Développement (BAD) et de l’Union Européenne (UE) afin de couvrir le coût du </w:t>
      </w:r>
      <w:r w:rsidRPr="009F0D1D">
        <w:rPr>
          <w:rFonts w:ascii="Times New Roman" w:hAnsi="Times New Roman" w:cs="Times New Roman"/>
          <w:b/>
          <w:spacing w:val="-2"/>
        </w:rPr>
        <w:t>Projet de reconstruction de la route Coyah- Farmoréah- Frontière de la Sierra Leone</w:t>
      </w:r>
      <w:r w:rsidRPr="009F0D1D" w:rsidDel="00B81CFC">
        <w:rPr>
          <w:rFonts w:ascii="Times New Roman" w:hAnsi="Times New Roman" w:cs="Times New Roman"/>
          <w:b/>
          <w:spacing w:val="-2"/>
        </w:rPr>
        <w:t xml:space="preserve"> </w:t>
      </w:r>
      <w:r w:rsidRPr="009F0D1D">
        <w:rPr>
          <w:rFonts w:ascii="Times New Roman" w:hAnsi="Times New Roman" w:cs="Times New Roman"/>
          <w:spacing w:val="-2"/>
        </w:rPr>
        <w:t xml:space="preserve">et a l’intention d’utiliser une partie des sommes accordées au titre de ces prêt/dons pour financer le coût de services de </w:t>
      </w:r>
      <w:r w:rsidR="00262C30" w:rsidRPr="009F0D1D">
        <w:rPr>
          <w:rFonts w:ascii="Times New Roman" w:hAnsi="Times New Roman" w:cs="Times New Roman"/>
          <w:spacing w:val="-2"/>
        </w:rPr>
        <w:t>C</w:t>
      </w:r>
      <w:r w:rsidRPr="009F0D1D">
        <w:rPr>
          <w:rFonts w:ascii="Times New Roman" w:hAnsi="Times New Roman" w:cs="Times New Roman"/>
          <w:spacing w:val="-2"/>
        </w:rPr>
        <w:t>onsultants</w:t>
      </w:r>
      <w:r w:rsidR="00262C30" w:rsidRPr="009F0D1D">
        <w:rPr>
          <w:rFonts w:ascii="Times New Roman" w:hAnsi="Times New Roman" w:cs="Times New Roman"/>
          <w:spacing w:val="-2"/>
        </w:rPr>
        <w:t xml:space="preserve"> (Firmes)</w:t>
      </w:r>
      <w:r w:rsidRPr="009F0D1D">
        <w:rPr>
          <w:rFonts w:ascii="Times New Roman" w:hAnsi="Times New Roman" w:cs="Times New Roman"/>
          <w:spacing w:val="-2"/>
        </w:rPr>
        <w:t xml:space="preserve"> pour </w:t>
      </w:r>
      <w:r w:rsidRPr="009F0D1D">
        <w:rPr>
          <w:rFonts w:ascii="Times New Roman" w:hAnsi="Times New Roman" w:cs="Times New Roman"/>
          <w:b/>
          <w:spacing w:val="-2"/>
        </w:rPr>
        <w:t>la réalisation des études techniques routières de 2 268 km</w:t>
      </w:r>
    </w:p>
    <w:p w14:paraId="3F40884D" w14:textId="4BE67D00" w:rsidR="009F0D1D" w:rsidRDefault="00CD18B2" w:rsidP="004018DF">
      <w:pPr>
        <w:pStyle w:val="Default"/>
        <w:numPr>
          <w:ilvl w:val="0"/>
          <w:numId w:val="8"/>
        </w:numPr>
        <w:spacing w:after="240" w:line="360" w:lineRule="auto"/>
        <w:ind w:right="827"/>
        <w:jc w:val="both"/>
        <w:rPr>
          <w:rFonts w:ascii="Times New Roman" w:hAnsi="Times New Roman" w:cs="Times New Roman"/>
          <w:spacing w:val="-2"/>
        </w:rPr>
      </w:pPr>
      <w:bookmarkStart w:id="3" w:name="_Hlk210051964"/>
      <w:bookmarkStart w:id="4" w:name="_Hlk214900420"/>
      <w:r w:rsidRPr="009F0D1D">
        <w:rPr>
          <w:rFonts w:ascii="Times New Roman" w:hAnsi="Times New Roman" w:cs="Times New Roman"/>
          <w:spacing w:val="-2"/>
        </w:rPr>
        <w:t xml:space="preserve">Les études seront réalisées dans les quatre (4) régions naturelles de la République de Guinée </w:t>
      </w:r>
      <w:r w:rsidR="00835003" w:rsidRPr="009F0D1D">
        <w:rPr>
          <w:rFonts w:ascii="Times New Roman" w:hAnsi="Times New Roman" w:cs="Times New Roman"/>
          <w:spacing w:val="-2"/>
        </w:rPr>
        <w:t>et</w:t>
      </w:r>
      <w:r w:rsidR="00D33E4C" w:rsidRPr="009F0D1D">
        <w:rPr>
          <w:rFonts w:ascii="Times New Roman" w:hAnsi="Times New Roman" w:cs="Times New Roman"/>
          <w:spacing w:val="-2"/>
        </w:rPr>
        <w:t xml:space="preserve"> </w:t>
      </w:r>
      <w:r w:rsidR="004018DF" w:rsidRPr="009F0D1D">
        <w:rPr>
          <w:rFonts w:ascii="Times New Roman" w:hAnsi="Times New Roman" w:cs="Times New Roman"/>
          <w:spacing w:val="-2"/>
        </w:rPr>
        <w:t>comprennent</w:t>
      </w:r>
      <w:r w:rsidR="00471B78" w:rsidRPr="009F0D1D">
        <w:rPr>
          <w:rFonts w:ascii="Times New Roman" w:hAnsi="Times New Roman" w:cs="Times New Roman"/>
          <w:spacing w:val="-2"/>
        </w:rPr>
        <w:t xml:space="preserve"> un linéaire de </w:t>
      </w:r>
      <w:r w:rsidR="0080691C" w:rsidRPr="009F0D1D">
        <w:rPr>
          <w:rFonts w:ascii="Times New Roman" w:hAnsi="Times New Roman" w:cs="Times New Roman"/>
          <w:spacing w:val="-2"/>
        </w:rPr>
        <w:t xml:space="preserve">2268 </w:t>
      </w:r>
      <w:r w:rsidR="00471B78" w:rsidRPr="009F0D1D">
        <w:rPr>
          <w:rFonts w:ascii="Times New Roman" w:hAnsi="Times New Roman" w:cs="Times New Roman"/>
          <w:spacing w:val="-2"/>
        </w:rPr>
        <w:t xml:space="preserve">Km </w:t>
      </w:r>
      <w:r w:rsidR="002364E3" w:rsidRPr="009F0D1D">
        <w:rPr>
          <w:rFonts w:ascii="Times New Roman" w:hAnsi="Times New Roman" w:cs="Times New Roman"/>
          <w:spacing w:val="-2"/>
        </w:rPr>
        <w:t>répartis</w:t>
      </w:r>
      <w:r w:rsidR="00D33E4C" w:rsidRPr="009F0D1D">
        <w:rPr>
          <w:rFonts w:ascii="Times New Roman" w:hAnsi="Times New Roman" w:cs="Times New Roman"/>
          <w:spacing w:val="-2"/>
        </w:rPr>
        <w:t xml:space="preserve"> </w:t>
      </w:r>
      <w:r w:rsidR="00262C30" w:rsidRPr="009F0D1D">
        <w:rPr>
          <w:rFonts w:ascii="Times New Roman" w:hAnsi="Times New Roman" w:cs="Times New Roman"/>
          <w:spacing w:val="-2"/>
        </w:rPr>
        <w:t>en</w:t>
      </w:r>
      <w:r w:rsidR="00D33E4C" w:rsidRPr="009F0D1D">
        <w:rPr>
          <w:rFonts w:ascii="Times New Roman" w:hAnsi="Times New Roman" w:cs="Times New Roman"/>
          <w:spacing w:val="-2"/>
        </w:rPr>
        <w:t xml:space="preserve"> </w:t>
      </w:r>
      <w:r w:rsidR="004B003E">
        <w:rPr>
          <w:rFonts w:ascii="Times New Roman" w:hAnsi="Times New Roman" w:cs="Times New Roman"/>
          <w:spacing w:val="-2"/>
        </w:rPr>
        <w:t>douze</w:t>
      </w:r>
      <w:r w:rsidR="00C75E5E" w:rsidRPr="009F0D1D">
        <w:rPr>
          <w:rFonts w:ascii="Times New Roman" w:hAnsi="Times New Roman" w:cs="Times New Roman"/>
          <w:spacing w:val="-2"/>
        </w:rPr>
        <w:t xml:space="preserve"> (1</w:t>
      </w:r>
      <w:r w:rsidR="004B003E">
        <w:rPr>
          <w:rFonts w:ascii="Times New Roman" w:hAnsi="Times New Roman" w:cs="Times New Roman"/>
          <w:spacing w:val="-2"/>
        </w:rPr>
        <w:t>2</w:t>
      </w:r>
      <w:r w:rsidR="00C75E5E" w:rsidRPr="009F0D1D">
        <w:rPr>
          <w:rFonts w:ascii="Times New Roman" w:hAnsi="Times New Roman" w:cs="Times New Roman"/>
          <w:spacing w:val="-2"/>
        </w:rPr>
        <w:t xml:space="preserve">) </w:t>
      </w:r>
      <w:r w:rsidR="004A3619" w:rsidRPr="009F0D1D">
        <w:rPr>
          <w:rFonts w:ascii="Times New Roman" w:hAnsi="Times New Roman" w:cs="Times New Roman"/>
          <w:spacing w:val="-2"/>
        </w:rPr>
        <w:t>lot</w:t>
      </w:r>
      <w:r w:rsidR="00D33E4C" w:rsidRPr="009F0D1D">
        <w:rPr>
          <w:rFonts w:ascii="Times New Roman" w:hAnsi="Times New Roman" w:cs="Times New Roman"/>
          <w:spacing w:val="-2"/>
        </w:rPr>
        <w:t>s</w:t>
      </w:r>
      <w:r w:rsidR="00262C30" w:rsidRPr="009F0D1D">
        <w:rPr>
          <w:rFonts w:ascii="Times New Roman" w:hAnsi="Times New Roman" w:cs="Times New Roman"/>
          <w:spacing w:val="-2"/>
        </w:rPr>
        <w:t>.</w:t>
      </w:r>
      <w:r w:rsidR="00D33E4C" w:rsidRPr="009F0D1D">
        <w:rPr>
          <w:rFonts w:ascii="Times New Roman" w:hAnsi="Times New Roman" w:cs="Times New Roman"/>
          <w:spacing w:val="-2"/>
        </w:rPr>
        <w:t xml:space="preserve"> </w:t>
      </w:r>
      <w:r w:rsidR="004018DF" w:rsidRPr="009F0D1D">
        <w:rPr>
          <w:rFonts w:ascii="Times New Roman" w:hAnsi="Times New Roman" w:cs="Times New Roman"/>
          <w:spacing w:val="-2"/>
        </w:rPr>
        <w:t>Concernant</w:t>
      </w:r>
      <w:r w:rsidR="00C75E5E" w:rsidRPr="009F0D1D">
        <w:rPr>
          <w:rFonts w:ascii="Times New Roman" w:hAnsi="Times New Roman" w:cs="Times New Roman"/>
          <w:spacing w:val="-2"/>
        </w:rPr>
        <w:t xml:space="preserve"> les zones </w:t>
      </w:r>
      <w:r w:rsidR="00D33E4C" w:rsidRPr="009F0D1D">
        <w:rPr>
          <w:rFonts w:ascii="Times New Roman" w:hAnsi="Times New Roman" w:cs="Times New Roman"/>
          <w:spacing w:val="-2"/>
        </w:rPr>
        <w:t>ci-</w:t>
      </w:r>
      <w:r w:rsidR="005D227D" w:rsidRPr="009F0D1D">
        <w:rPr>
          <w:rFonts w:ascii="Times New Roman" w:hAnsi="Times New Roman" w:cs="Times New Roman"/>
          <w:spacing w:val="-2"/>
        </w:rPr>
        <w:t>après :</w:t>
      </w:r>
    </w:p>
    <w:p w14:paraId="5CC7BE58" w14:textId="77777777" w:rsidR="004B003E" w:rsidRDefault="004B003E" w:rsidP="004B003E">
      <w:pPr>
        <w:pStyle w:val="Default"/>
        <w:spacing w:after="240" w:line="360" w:lineRule="auto"/>
        <w:ind w:right="827"/>
        <w:jc w:val="both"/>
        <w:rPr>
          <w:rFonts w:ascii="Times New Roman" w:hAnsi="Times New Roman" w:cs="Times New Roman"/>
          <w:spacing w:val="-2"/>
        </w:rPr>
      </w:pPr>
    </w:p>
    <w:tbl>
      <w:tblPr>
        <w:tblW w:w="10746" w:type="dxa"/>
        <w:tblInd w:w="-289" w:type="dxa"/>
        <w:tblCellMar>
          <w:left w:w="70" w:type="dxa"/>
          <w:right w:w="70" w:type="dxa"/>
        </w:tblCellMar>
        <w:tblLook w:val="04A0" w:firstRow="1" w:lastRow="0" w:firstColumn="1" w:lastColumn="0" w:noHBand="0" w:noVBand="1"/>
      </w:tblPr>
      <w:tblGrid>
        <w:gridCol w:w="1069"/>
        <w:gridCol w:w="4035"/>
        <w:gridCol w:w="4678"/>
        <w:gridCol w:w="964"/>
      </w:tblGrid>
      <w:tr w:rsidR="004B003E" w:rsidRPr="002A5C67" w14:paraId="2B5053DF" w14:textId="77777777" w:rsidTr="004B003E">
        <w:trPr>
          <w:trHeight w:val="276"/>
        </w:trPr>
        <w:tc>
          <w:tcPr>
            <w:tcW w:w="1069" w:type="dxa"/>
            <w:tcBorders>
              <w:top w:val="single" w:sz="4" w:space="0" w:color="auto"/>
              <w:left w:val="single" w:sz="4" w:space="0" w:color="auto"/>
              <w:bottom w:val="single" w:sz="4" w:space="0" w:color="auto"/>
              <w:right w:val="single" w:sz="4" w:space="0" w:color="auto"/>
            </w:tcBorders>
            <w:vAlign w:val="center"/>
            <w:hideMark/>
          </w:tcPr>
          <w:p w14:paraId="63B4F2CB" w14:textId="77777777" w:rsidR="004B003E" w:rsidRPr="002A5C67" w:rsidRDefault="004B003E" w:rsidP="00D52997">
            <w:pPr>
              <w:jc w:val="center"/>
              <w:rPr>
                <w:b/>
                <w:bCs/>
                <w:color w:val="000000"/>
                <w:lang w:val="fr-CA" w:eastAsia="fr-CA"/>
              </w:rPr>
            </w:pPr>
            <w:r w:rsidRPr="002A5C67">
              <w:rPr>
                <w:b/>
                <w:bCs/>
                <w:color w:val="000000"/>
                <w:lang w:val="fr-CA" w:eastAsia="fr-CA"/>
              </w:rPr>
              <w:lastRenderedPageBreak/>
              <w:t>Catég. Routes</w:t>
            </w:r>
          </w:p>
        </w:tc>
        <w:tc>
          <w:tcPr>
            <w:tcW w:w="4035" w:type="dxa"/>
            <w:tcBorders>
              <w:top w:val="single" w:sz="4" w:space="0" w:color="auto"/>
              <w:left w:val="nil"/>
              <w:bottom w:val="single" w:sz="4" w:space="0" w:color="auto"/>
              <w:right w:val="single" w:sz="4" w:space="0" w:color="auto"/>
            </w:tcBorders>
            <w:vAlign w:val="center"/>
            <w:hideMark/>
          </w:tcPr>
          <w:p w14:paraId="2FD33368" w14:textId="77777777" w:rsidR="004B003E" w:rsidRPr="002A5C67" w:rsidRDefault="004B003E" w:rsidP="00D52997">
            <w:pPr>
              <w:rPr>
                <w:b/>
                <w:bCs/>
                <w:color w:val="000000"/>
                <w:lang w:val="fr-CA" w:eastAsia="fr-CA"/>
              </w:rPr>
            </w:pPr>
            <w:r w:rsidRPr="002A5C67">
              <w:rPr>
                <w:b/>
                <w:bCs/>
                <w:color w:val="000000"/>
                <w:lang w:val="fr-CA" w:eastAsia="fr-CA"/>
              </w:rPr>
              <w:t>Zones d’études</w:t>
            </w:r>
          </w:p>
        </w:tc>
        <w:tc>
          <w:tcPr>
            <w:tcW w:w="4678" w:type="dxa"/>
            <w:tcBorders>
              <w:top w:val="single" w:sz="4" w:space="0" w:color="auto"/>
              <w:left w:val="nil"/>
              <w:bottom w:val="single" w:sz="4" w:space="0" w:color="auto"/>
              <w:right w:val="single" w:sz="4" w:space="0" w:color="auto"/>
            </w:tcBorders>
            <w:vAlign w:val="center"/>
            <w:hideMark/>
          </w:tcPr>
          <w:p w14:paraId="5467F891" w14:textId="77777777" w:rsidR="004B003E" w:rsidRPr="002A5C67" w:rsidRDefault="004B003E" w:rsidP="00D52997">
            <w:pPr>
              <w:jc w:val="center"/>
              <w:rPr>
                <w:b/>
                <w:bCs/>
                <w:color w:val="000000"/>
                <w:lang w:val="fr-CA" w:eastAsia="fr-CA"/>
              </w:rPr>
            </w:pPr>
            <w:r w:rsidRPr="002A5C67">
              <w:rPr>
                <w:b/>
                <w:bCs/>
                <w:color w:val="000000"/>
                <w:lang w:val="fr-CA" w:eastAsia="fr-CA"/>
              </w:rPr>
              <w:t>Nomenclatures des sections des routes</w:t>
            </w:r>
          </w:p>
        </w:tc>
        <w:tc>
          <w:tcPr>
            <w:tcW w:w="964" w:type="dxa"/>
            <w:tcBorders>
              <w:top w:val="single" w:sz="4" w:space="0" w:color="auto"/>
              <w:left w:val="nil"/>
              <w:bottom w:val="single" w:sz="4" w:space="0" w:color="auto"/>
              <w:right w:val="single" w:sz="4" w:space="0" w:color="auto"/>
            </w:tcBorders>
            <w:vAlign w:val="center"/>
            <w:hideMark/>
          </w:tcPr>
          <w:p w14:paraId="33B7C012" w14:textId="77777777" w:rsidR="004B003E" w:rsidRPr="002A5C67" w:rsidRDefault="004B003E" w:rsidP="00D52997">
            <w:pPr>
              <w:jc w:val="center"/>
              <w:rPr>
                <w:b/>
                <w:bCs/>
                <w:color w:val="000000"/>
                <w:lang w:val="fr-CA" w:eastAsia="fr-CA"/>
              </w:rPr>
            </w:pPr>
            <w:r w:rsidRPr="002A5C67">
              <w:rPr>
                <w:b/>
                <w:bCs/>
                <w:color w:val="000000"/>
                <w:lang w:val="fr-CA" w:eastAsia="fr-CA"/>
              </w:rPr>
              <w:t xml:space="preserve"> Linéaire (Km) </w:t>
            </w:r>
          </w:p>
        </w:tc>
      </w:tr>
      <w:tr w:rsidR="004B003E" w:rsidRPr="002A5C67" w14:paraId="3711D1CA" w14:textId="77777777" w:rsidTr="004B003E">
        <w:trPr>
          <w:trHeight w:val="276"/>
        </w:trPr>
        <w:tc>
          <w:tcPr>
            <w:tcW w:w="1069" w:type="dxa"/>
            <w:vMerge w:val="restart"/>
            <w:tcBorders>
              <w:top w:val="nil"/>
              <w:left w:val="single" w:sz="4" w:space="0" w:color="auto"/>
              <w:bottom w:val="single" w:sz="4" w:space="0" w:color="auto"/>
              <w:right w:val="single" w:sz="4" w:space="0" w:color="auto"/>
            </w:tcBorders>
            <w:vAlign w:val="center"/>
            <w:hideMark/>
          </w:tcPr>
          <w:p w14:paraId="43AE69FA" w14:textId="77777777" w:rsidR="004B003E" w:rsidRPr="002A5C67" w:rsidRDefault="004B003E" w:rsidP="00D52997">
            <w:pPr>
              <w:jc w:val="center"/>
              <w:rPr>
                <w:color w:val="000000"/>
                <w:lang w:val="fr-CA" w:eastAsia="fr-CA"/>
              </w:rPr>
            </w:pPr>
            <w:r w:rsidRPr="002A5C67">
              <w:rPr>
                <w:color w:val="000000"/>
                <w:lang w:val="fr-CA" w:eastAsia="fr-CA"/>
              </w:rPr>
              <w:t>VSA/VU*</w:t>
            </w:r>
          </w:p>
        </w:tc>
        <w:tc>
          <w:tcPr>
            <w:tcW w:w="8713" w:type="dxa"/>
            <w:gridSpan w:val="2"/>
            <w:tcBorders>
              <w:top w:val="nil"/>
              <w:left w:val="nil"/>
              <w:bottom w:val="single" w:sz="4" w:space="0" w:color="auto"/>
              <w:right w:val="single" w:sz="4" w:space="0" w:color="auto"/>
            </w:tcBorders>
            <w:noWrap/>
            <w:vAlign w:val="center"/>
            <w:hideMark/>
          </w:tcPr>
          <w:p w14:paraId="15247F1A" w14:textId="77777777" w:rsidR="004B003E" w:rsidRPr="002A5C67" w:rsidRDefault="004B003E" w:rsidP="00D52997">
            <w:pPr>
              <w:rPr>
                <w:b/>
                <w:bCs/>
                <w:color w:val="000000"/>
                <w:lang w:val="fr-CA" w:eastAsia="fr-CA"/>
              </w:rPr>
            </w:pPr>
            <w:r w:rsidRPr="002A5C67">
              <w:rPr>
                <w:b/>
                <w:bCs/>
                <w:color w:val="000000"/>
                <w:lang w:val="fr-CA" w:eastAsia="fr-CA"/>
              </w:rPr>
              <w:t>Etudes techniques routières de 650 km dans les communes du Grand Conakry</w:t>
            </w:r>
          </w:p>
        </w:tc>
        <w:tc>
          <w:tcPr>
            <w:tcW w:w="964" w:type="dxa"/>
            <w:tcBorders>
              <w:top w:val="nil"/>
              <w:left w:val="nil"/>
              <w:bottom w:val="single" w:sz="4" w:space="0" w:color="auto"/>
              <w:right w:val="single" w:sz="4" w:space="0" w:color="auto"/>
            </w:tcBorders>
            <w:noWrap/>
            <w:vAlign w:val="center"/>
            <w:hideMark/>
          </w:tcPr>
          <w:p w14:paraId="342CD5C6" w14:textId="77777777" w:rsidR="004B003E" w:rsidRPr="002A5C67" w:rsidRDefault="004B003E" w:rsidP="00D52997">
            <w:pPr>
              <w:rPr>
                <w:b/>
                <w:bCs/>
                <w:color w:val="000000"/>
                <w:lang w:val="fr-CA" w:eastAsia="fr-CA"/>
              </w:rPr>
            </w:pPr>
            <w:r w:rsidRPr="002A5C67">
              <w:rPr>
                <w:b/>
                <w:bCs/>
                <w:color w:val="000000"/>
                <w:lang w:val="fr-CA" w:eastAsia="fr-CA"/>
              </w:rPr>
              <w:t> </w:t>
            </w:r>
          </w:p>
        </w:tc>
      </w:tr>
      <w:tr w:rsidR="004B003E" w:rsidRPr="002A5C67" w14:paraId="2D741795" w14:textId="77777777" w:rsidTr="004B003E">
        <w:trPr>
          <w:trHeight w:val="276"/>
        </w:trPr>
        <w:tc>
          <w:tcPr>
            <w:tcW w:w="1069" w:type="dxa"/>
            <w:vMerge/>
            <w:tcBorders>
              <w:top w:val="nil"/>
              <w:left w:val="single" w:sz="4" w:space="0" w:color="auto"/>
              <w:bottom w:val="single" w:sz="4" w:space="0" w:color="auto"/>
              <w:right w:val="single" w:sz="4" w:space="0" w:color="auto"/>
            </w:tcBorders>
            <w:vAlign w:val="center"/>
            <w:hideMark/>
          </w:tcPr>
          <w:p w14:paraId="41AA0973" w14:textId="77777777" w:rsidR="004B003E" w:rsidRPr="002A5C67" w:rsidRDefault="004B003E" w:rsidP="00D52997">
            <w:pPr>
              <w:rPr>
                <w:color w:val="000000"/>
                <w:lang w:val="fr-CA" w:eastAsia="fr-CA"/>
              </w:rPr>
            </w:pPr>
          </w:p>
        </w:tc>
        <w:tc>
          <w:tcPr>
            <w:tcW w:w="4035" w:type="dxa"/>
            <w:tcBorders>
              <w:top w:val="nil"/>
              <w:left w:val="nil"/>
              <w:bottom w:val="single" w:sz="4" w:space="0" w:color="auto"/>
              <w:right w:val="single" w:sz="4" w:space="0" w:color="auto"/>
            </w:tcBorders>
            <w:vAlign w:val="center"/>
            <w:hideMark/>
          </w:tcPr>
          <w:p w14:paraId="33395D2A" w14:textId="77777777" w:rsidR="004B003E" w:rsidRPr="002A5C67" w:rsidRDefault="004B003E" w:rsidP="00D52997">
            <w:pPr>
              <w:rPr>
                <w:color w:val="000000"/>
                <w:lang w:val="fr-CA" w:eastAsia="fr-CA"/>
              </w:rPr>
            </w:pPr>
            <w:r w:rsidRPr="002A5C67">
              <w:rPr>
                <w:color w:val="000000"/>
                <w:lang w:val="fr-CA" w:eastAsia="fr-CA"/>
              </w:rPr>
              <w:t>Zone 1</w:t>
            </w:r>
          </w:p>
        </w:tc>
        <w:tc>
          <w:tcPr>
            <w:tcW w:w="4678" w:type="dxa"/>
            <w:tcBorders>
              <w:top w:val="nil"/>
              <w:left w:val="nil"/>
              <w:bottom w:val="single" w:sz="4" w:space="0" w:color="auto"/>
              <w:right w:val="single" w:sz="4" w:space="0" w:color="auto"/>
            </w:tcBorders>
            <w:vAlign w:val="center"/>
            <w:hideMark/>
          </w:tcPr>
          <w:p w14:paraId="3AB7ECAD" w14:textId="77777777" w:rsidR="004B003E" w:rsidRPr="002A5C67" w:rsidRDefault="004B003E" w:rsidP="00D52997">
            <w:pPr>
              <w:rPr>
                <w:color w:val="000000"/>
                <w:lang w:val="fr-CA" w:eastAsia="fr-CA"/>
              </w:rPr>
            </w:pPr>
            <w:r w:rsidRPr="002A5C67">
              <w:rPr>
                <w:color w:val="000000"/>
                <w:lang w:val="fr-CA" w:eastAsia="fr-CA"/>
              </w:rPr>
              <w:t xml:space="preserve">Kaloum-30km ; Iles de Loos-10km ; Dixinn-40km ; Matam-50km et Gbéssia-50km </w:t>
            </w:r>
          </w:p>
        </w:tc>
        <w:tc>
          <w:tcPr>
            <w:tcW w:w="964" w:type="dxa"/>
            <w:tcBorders>
              <w:top w:val="nil"/>
              <w:left w:val="nil"/>
              <w:bottom w:val="single" w:sz="4" w:space="0" w:color="auto"/>
              <w:right w:val="single" w:sz="4" w:space="0" w:color="auto"/>
            </w:tcBorders>
            <w:vAlign w:val="center"/>
            <w:hideMark/>
          </w:tcPr>
          <w:p w14:paraId="3CFF6936" w14:textId="77777777" w:rsidR="004B003E" w:rsidRPr="002A5C67" w:rsidRDefault="004B003E" w:rsidP="00D52997">
            <w:pPr>
              <w:jc w:val="center"/>
              <w:rPr>
                <w:color w:val="000000"/>
                <w:lang w:val="fr-CA" w:eastAsia="fr-CA"/>
              </w:rPr>
            </w:pPr>
            <w:r w:rsidRPr="002A5C67">
              <w:rPr>
                <w:color w:val="000000"/>
                <w:lang w:val="fr-CA" w:eastAsia="fr-CA"/>
              </w:rPr>
              <w:t>180</w:t>
            </w:r>
          </w:p>
        </w:tc>
      </w:tr>
      <w:tr w:rsidR="004B003E" w:rsidRPr="002A5C67" w14:paraId="68D696EA" w14:textId="77777777" w:rsidTr="004B003E">
        <w:trPr>
          <w:trHeight w:val="276"/>
        </w:trPr>
        <w:tc>
          <w:tcPr>
            <w:tcW w:w="1069" w:type="dxa"/>
            <w:vMerge/>
            <w:tcBorders>
              <w:top w:val="nil"/>
              <w:left w:val="single" w:sz="4" w:space="0" w:color="auto"/>
              <w:bottom w:val="single" w:sz="4" w:space="0" w:color="auto"/>
              <w:right w:val="single" w:sz="4" w:space="0" w:color="auto"/>
            </w:tcBorders>
            <w:vAlign w:val="center"/>
            <w:hideMark/>
          </w:tcPr>
          <w:p w14:paraId="59B9763C" w14:textId="77777777" w:rsidR="004B003E" w:rsidRPr="002A5C67" w:rsidRDefault="004B003E" w:rsidP="00D52997">
            <w:pPr>
              <w:rPr>
                <w:color w:val="000000"/>
                <w:lang w:val="fr-CA" w:eastAsia="fr-CA"/>
              </w:rPr>
            </w:pPr>
          </w:p>
        </w:tc>
        <w:tc>
          <w:tcPr>
            <w:tcW w:w="4035" w:type="dxa"/>
            <w:tcBorders>
              <w:top w:val="nil"/>
              <w:left w:val="nil"/>
              <w:bottom w:val="single" w:sz="4" w:space="0" w:color="auto"/>
              <w:right w:val="single" w:sz="4" w:space="0" w:color="auto"/>
            </w:tcBorders>
            <w:vAlign w:val="center"/>
            <w:hideMark/>
          </w:tcPr>
          <w:p w14:paraId="3AF9C419" w14:textId="77777777" w:rsidR="004B003E" w:rsidRPr="002A5C67" w:rsidRDefault="004B003E" w:rsidP="00D52997">
            <w:pPr>
              <w:rPr>
                <w:color w:val="000000"/>
                <w:lang w:val="fr-CA" w:eastAsia="fr-CA"/>
              </w:rPr>
            </w:pPr>
            <w:r w:rsidRPr="002A5C67">
              <w:rPr>
                <w:color w:val="000000"/>
                <w:lang w:val="fr-CA" w:eastAsia="fr-CA"/>
              </w:rPr>
              <w:t>Zone 2</w:t>
            </w:r>
          </w:p>
        </w:tc>
        <w:tc>
          <w:tcPr>
            <w:tcW w:w="4678" w:type="dxa"/>
            <w:tcBorders>
              <w:top w:val="nil"/>
              <w:left w:val="nil"/>
              <w:bottom w:val="single" w:sz="4" w:space="0" w:color="auto"/>
              <w:right w:val="single" w:sz="4" w:space="0" w:color="auto"/>
            </w:tcBorders>
            <w:vAlign w:val="center"/>
            <w:hideMark/>
          </w:tcPr>
          <w:p w14:paraId="1AE4C6EE" w14:textId="77777777" w:rsidR="004B003E" w:rsidRPr="002A5C67" w:rsidRDefault="004B003E" w:rsidP="00D52997">
            <w:pPr>
              <w:jc w:val="both"/>
              <w:rPr>
                <w:color w:val="000000"/>
                <w:lang w:val="fr-CA" w:eastAsia="fr-CA"/>
              </w:rPr>
            </w:pPr>
            <w:r w:rsidRPr="002A5C67">
              <w:rPr>
                <w:color w:val="000000"/>
                <w:lang w:val="fr-CA" w:eastAsia="fr-CA"/>
              </w:rPr>
              <w:t xml:space="preserve">Matoto-40km ; Ratoma-40km ; Lambany-40km ; Sonfonia-50km ; Tombolya-50km) </w:t>
            </w:r>
          </w:p>
        </w:tc>
        <w:tc>
          <w:tcPr>
            <w:tcW w:w="964" w:type="dxa"/>
            <w:tcBorders>
              <w:top w:val="nil"/>
              <w:left w:val="nil"/>
              <w:bottom w:val="single" w:sz="4" w:space="0" w:color="auto"/>
              <w:right w:val="single" w:sz="4" w:space="0" w:color="auto"/>
            </w:tcBorders>
            <w:vAlign w:val="center"/>
            <w:hideMark/>
          </w:tcPr>
          <w:p w14:paraId="55B055C0" w14:textId="77777777" w:rsidR="004B003E" w:rsidRPr="002A5C67" w:rsidRDefault="004B003E" w:rsidP="00D52997">
            <w:pPr>
              <w:jc w:val="center"/>
              <w:rPr>
                <w:color w:val="000000"/>
                <w:lang w:val="fr-CA" w:eastAsia="fr-CA"/>
              </w:rPr>
            </w:pPr>
            <w:r w:rsidRPr="002A5C67">
              <w:rPr>
                <w:color w:val="000000"/>
                <w:lang w:val="fr-CA" w:eastAsia="fr-CA"/>
              </w:rPr>
              <w:t xml:space="preserve">                   220 </w:t>
            </w:r>
          </w:p>
        </w:tc>
      </w:tr>
      <w:tr w:rsidR="004B003E" w:rsidRPr="002A5C67" w14:paraId="770BC6EA" w14:textId="77777777" w:rsidTr="004B003E">
        <w:trPr>
          <w:trHeight w:val="276"/>
        </w:trPr>
        <w:tc>
          <w:tcPr>
            <w:tcW w:w="1069" w:type="dxa"/>
            <w:vMerge/>
            <w:tcBorders>
              <w:top w:val="nil"/>
              <w:left w:val="single" w:sz="4" w:space="0" w:color="auto"/>
              <w:bottom w:val="single" w:sz="4" w:space="0" w:color="auto"/>
              <w:right w:val="single" w:sz="4" w:space="0" w:color="auto"/>
            </w:tcBorders>
            <w:vAlign w:val="center"/>
            <w:hideMark/>
          </w:tcPr>
          <w:p w14:paraId="0B688BFE" w14:textId="77777777" w:rsidR="004B003E" w:rsidRPr="002A5C67" w:rsidRDefault="004B003E" w:rsidP="00D52997">
            <w:pPr>
              <w:rPr>
                <w:color w:val="000000"/>
                <w:lang w:val="fr-CA" w:eastAsia="fr-CA"/>
              </w:rPr>
            </w:pPr>
          </w:p>
        </w:tc>
        <w:tc>
          <w:tcPr>
            <w:tcW w:w="4035" w:type="dxa"/>
            <w:tcBorders>
              <w:top w:val="nil"/>
              <w:left w:val="nil"/>
              <w:bottom w:val="single" w:sz="4" w:space="0" w:color="auto"/>
              <w:right w:val="single" w:sz="4" w:space="0" w:color="auto"/>
            </w:tcBorders>
            <w:vAlign w:val="center"/>
            <w:hideMark/>
          </w:tcPr>
          <w:p w14:paraId="44CF41DA" w14:textId="77777777" w:rsidR="004B003E" w:rsidRPr="002A5C67" w:rsidRDefault="004B003E" w:rsidP="00D52997">
            <w:pPr>
              <w:rPr>
                <w:color w:val="000000"/>
                <w:lang w:val="fr-CA" w:eastAsia="fr-CA"/>
              </w:rPr>
            </w:pPr>
            <w:r w:rsidRPr="002A5C67">
              <w:rPr>
                <w:color w:val="000000"/>
                <w:lang w:val="fr-CA" w:eastAsia="fr-CA"/>
              </w:rPr>
              <w:t>Zone 3</w:t>
            </w:r>
          </w:p>
        </w:tc>
        <w:tc>
          <w:tcPr>
            <w:tcW w:w="4678" w:type="dxa"/>
            <w:tcBorders>
              <w:top w:val="nil"/>
              <w:left w:val="nil"/>
              <w:bottom w:val="single" w:sz="4" w:space="0" w:color="auto"/>
              <w:right w:val="single" w:sz="4" w:space="0" w:color="auto"/>
            </w:tcBorders>
            <w:vAlign w:val="center"/>
            <w:hideMark/>
          </w:tcPr>
          <w:p w14:paraId="5E1E12F9" w14:textId="77777777" w:rsidR="004B003E" w:rsidRPr="002A5C67" w:rsidRDefault="004B003E" w:rsidP="00D52997">
            <w:pPr>
              <w:jc w:val="both"/>
              <w:rPr>
                <w:color w:val="000000"/>
                <w:lang w:val="fr-CA" w:eastAsia="fr-CA"/>
              </w:rPr>
            </w:pPr>
            <w:r w:rsidRPr="002A5C67">
              <w:rPr>
                <w:color w:val="000000"/>
                <w:lang w:val="fr-CA" w:eastAsia="fr-CA"/>
              </w:rPr>
              <w:t>Sanoyah-50km ; Manéah-50km ; Kagbélen-50km ; Dubréka-50km et Coyah-50km</w:t>
            </w:r>
          </w:p>
        </w:tc>
        <w:tc>
          <w:tcPr>
            <w:tcW w:w="964" w:type="dxa"/>
            <w:tcBorders>
              <w:top w:val="nil"/>
              <w:left w:val="nil"/>
              <w:bottom w:val="single" w:sz="4" w:space="0" w:color="auto"/>
              <w:right w:val="single" w:sz="4" w:space="0" w:color="auto"/>
            </w:tcBorders>
            <w:vAlign w:val="center"/>
            <w:hideMark/>
          </w:tcPr>
          <w:p w14:paraId="42CABEF0" w14:textId="77777777" w:rsidR="004B003E" w:rsidRPr="002A5C67" w:rsidRDefault="004B003E" w:rsidP="00D52997">
            <w:pPr>
              <w:jc w:val="center"/>
              <w:rPr>
                <w:color w:val="000000"/>
                <w:lang w:val="fr-CA" w:eastAsia="fr-CA"/>
              </w:rPr>
            </w:pPr>
            <w:r w:rsidRPr="002A5C67">
              <w:rPr>
                <w:color w:val="000000"/>
                <w:lang w:val="fr-CA" w:eastAsia="fr-CA"/>
              </w:rPr>
              <w:t xml:space="preserve">                   250 </w:t>
            </w:r>
          </w:p>
        </w:tc>
      </w:tr>
      <w:tr w:rsidR="004B003E" w:rsidRPr="002A5C67" w14:paraId="7E14361E" w14:textId="77777777" w:rsidTr="004B003E">
        <w:trPr>
          <w:trHeight w:val="276"/>
        </w:trPr>
        <w:tc>
          <w:tcPr>
            <w:tcW w:w="1069" w:type="dxa"/>
            <w:vMerge w:val="restart"/>
            <w:tcBorders>
              <w:top w:val="nil"/>
              <w:left w:val="single" w:sz="4" w:space="0" w:color="auto"/>
              <w:bottom w:val="single" w:sz="4" w:space="0" w:color="auto"/>
              <w:right w:val="single" w:sz="4" w:space="0" w:color="auto"/>
            </w:tcBorders>
            <w:vAlign w:val="center"/>
            <w:hideMark/>
          </w:tcPr>
          <w:p w14:paraId="19DAF506" w14:textId="77777777" w:rsidR="004B003E" w:rsidRPr="002A5C67" w:rsidRDefault="004B003E" w:rsidP="00D52997">
            <w:pPr>
              <w:jc w:val="center"/>
              <w:rPr>
                <w:color w:val="000000"/>
                <w:lang w:val="fr-CA" w:eastAsia="fr-CA"/>
              </w:rPr>
            </w:pPr>
            <w:r w:rsidRPr="002A5C67">
              <w:rPr>
                <w:color w:val="000000"/>
                <w:lang w:val="fr-CA" w:eastAsia="fr-CA"/>
              </w:rPr>
              <w:t>VSA/VU</w:t>
            </w:r>
          </w:p>
        </w:tc>
        <w:tc>
          <w:tcPr>
            <w:tcW w:w="8713" w:type="dxa"/>
            <w:gridSpan w:val="2"/>
            <w:tcBorders>
              <w:top w:val="nil"/>
              <w:left w:val="nil"/>
              <w:bottom w:val="single" w:sz="4" w:space="0" w:color="auto"/>
              <w:right w:val="single" w:sz="4" w:space="0" w:color="auto"/>
            </w:tcBorders>
            <w:noWrap/>
            <w:vAlign w:val="center"/>
            <w:hideMark/>
          </w:tcPr>
          <w:p w14:paraId="7FF69DF3" w14:textId="77777777" w:rsidR="004B003E" w:rsidRPr="002A5C67" w:rsidRDefault="004B003E" w:rsidP="00D52997">
            <w:pPr>
              <w:rPr>
                <w:b/>
                <w:bCs/>
                <w:color w:val="000000"/>
                <w:lang w:val="fr-CA" w:eastAsia="fr-CA"/>
              </w:rPr>
            </w:pPr>
            <w:r w:rsidRPr="002A5C67">
              <w:rPr>
                <w:b/>
                <w:bCs/>
                <w:color w:val="000000"/>
                <w:lang w:val="fr-CA" w:eastAsia="fr-CA"/>
              </w:rPr>
              <w:t>Etudes techniques routières de 635 km dans les 7 Capitales Régionales de la Guinée</w:t>
            </w:r>
          </w:p>
        </w:tc>
        <w:tc>
          <w:tcPr>
            <w:tcW w:w="964" w:type="dxa"/>
            <w:tcBorders>
              <w:top w:val="nil"/>
              <w:left w:val="nil"/>
              <w:bottom w:val="single" w:sz="4" w:space="0" w:color="auto"/>
              <w:right w:val="single" w:sz="4" w:space="0" w:color="auto"/>
            </w:tcBorders>
            <w:noWrap/>
            <w:vAlign w:val="center"/>
            <w:hideMark/>
          </w:tcPr>
          <w:p w14:paraId="33166B04" w14:textId="77777777" w:rsidR="004B003E" w:rsidRPr="002A5C67" w:rsidRDefault="004B003E" w:rsidP="00D52997">
            <w:pPr>
              <w:rPr>
                <w:b/>
                <w:bCs/>
                <w:color w:val="000000"/>
                <w:lang w:val="fr-CA" w:eastAsia="fr-CA"/>
              </w:rPr>
            </w:pPr>
            <w:r w:rsidRPr="002A5C67">
              <w:rPr>
                <w:b/>
                <w:bCs/>
                <w:color w:val="000000"/>
                <w:lang w:val="fr-CA" w:eastAsia="fr-CA"/>
              </w:rPr>
              <w:t> </w:t>
            </w:r>
          </w:p>
        </w:tc>
      </w:tr>
      <w:tr w:rsidR="004B003E" w:rsidRPr="002A5C67" w14:paraId="2CFB9406" w14:textId="77777777" w:rsidTr="004B003E">
        <w:trPr>
          <w:trHeight w:val="276"/>
        </w:trPr>
        <w:tc>
          <w:tcPr>
            <w:tcW w:w="1069" w:type="dxa"/>
            <w:vMerge/>
            <w:tcBorders>
              <w:top w:val="nil"/>
              <w:left w:val="single" w:sz="4" w:space="0" w:color="auto"/>
              <w:bottom w:val="single" w:sz="4" w:space="0" w:color="auto"/>
              <w:right w:val="single" w:sz="4" w:space="0" w:color="auto"/>
            </w:tcBorders>
            <w:vAlign w:val="center"/>
            <w:hideMark/>
          </w:tcPr>
          <w:p w14:paraId="686D098B" w14:textId="77777777" w:rsidR="004B003E" w:rsidRPr="002A5C67" w:rsidRDefault="004B003E" w:rsidP="00D52997">
            <w:pPr>
              <w:rPr>
                <w:color w:val="000000"/>
                <w:lang w:val="fr-CA" w:eastAsia="fr-CA"/>
              </w:rPr>
            </w:pPr>
          </w:p>
        </w:tc>
        <w:tc>
          <w:tcPr>
            <w:tcW w:w="4035" w:type="dxa"/>
            <w:tcBorders>
              <w:top w:val="nil"/>
              <w:left w:val="nil"/>
              <w:bottom w:val="single" w:sz="4" w:space="0" w:color="auto"/>
              <w:right w:val="single" w:sz="4" w:space="0" w:color="auto"/>
            </w:tcBorders>
            <w:shd w:val="clear" w:color="000000" w:fill="FFFFFF"/>
            <w:vAlign w:val="center"/>
            <w:hideMark/>
          </w:tcPr>
          <w:p w14:paraId="3A140206" w14:textId="77777777" w:rsidR="004B003E" w:rsidRPr="002A5C67" w:rsidRDefault="004B003E" w:rsidP="00D52997">
            <w:pPr>
              <w:rPr>
                <w:color w:val="000000"/>
                <w:lang w:val="fr-CA" w:eastAsia="fr-CA"/>
              </w:rPr>
            </w:pPr>
            <w:r w:rsidRPr="002A5C67">
              <w:rPr>
                <w:color w:val="000000"/>
                <w:lang w:val="fr-CA" w:eastAsia="fr-CA"/>
              </w:rPr>
              <w:t>Zone 4</w:t>
            </w:r>
          </w:p>
        </w:tc>
        <w:tc>
          <w:tcPr>
            <w:tcW w:w="4678" w:type="dxa"/>
            <w:tcBorders>
              <w:top w:val="nil"/>
              <w:left w:val="nil"/>
              <w:bottom w:val="single" w:sz="4" w:space="0" w:color="auto"/>
              <w:right w:val="single" w:sz="4" w:space="0" w:color="auto"/>
            </w:tcBorders>
            <w:shd w:val="clear" w:color="000000" w:fill="FFFFFF"/>
            <w:vAlign w:val="center"/>
            <w:hideMark/>
          </w:tcPr>
          <w:p w14:paraId="2C9E6291" w14:textId="77777777" w:rsidR="004B003E" w:rsidRPr="002A5C67" w:rsidRDefault="004B003E" w:rsidP="00D52997">
            <w:pPr>
              <w:rPr>
                <w:color w:val="000000"/>
                <w:lang w:val="fr-CA" w:eastAsia="fr-CA"/>
              </w:rPr>
            </w:pPr>
            <w:r w:rsidRPr="002A5C67">
              <w:rPr>
                <w:color w:val="000000"/>
                <w:lang w:val="fr-CA" w:eastAsia="fr-CA"/>
              </w:rPr>
              <w:t>Régions Administratives de Kindia-100km et de Boké-100km </w:t>
            </w:r>
          </w:p>
        </w:tc>
        <w:tc>
          <w:tcPr>
            <w:tcW w:w="964" w:type="dxa"/>
            <w:tcBorders>
              <w:top w:val="nil"/>
              <w:left w:val="nil"/>
              <w:bottom w:val="single" w:sz="4" w:space="0" w:color="auto"/>
              <w:right w:val="single" w:sz="4" w:space="0" w:color="auto"/>
            </w:tcBorders>
            <w:shd w:val="clear" w:color="000000" w:fill="FFFFFF"/>
            <w:vAlign w:val="center"/>
            <w:hideMark/>
          </w:tcPr>
          <w:p w14:paraId="53382BF7" w14:textId="77777777" w:rsidR="004B003E" w:rsidRPr="002A5C67" w:rsidRDefault="004B003E" w:rsidP="00D52997">
            <w:pPr>
              <w:jc w:val="center"/>
              <w:rPr>
                <w:color w:val="000000"/>
                <w:lang w:val="fr-CA" w:eastAsia="fr-CA"/>
              </w:rPr>
            </w:pPr>
            <w:r w:rsidRPr="002A5C67">
              <w:rPr>
                <w:color w:val="000000"/>
                <w:lang w:val="fr-CA" w:eastAsia="fr-CA"/>
              </w:rPr>
              <w:t xml:space="preserve">                   200 </w:t>
            </w:r>
          </w:p>
        </w:tc>
      </w:tr>
      <w:tr w:rsidR="004B003E" w:rsidRPr="002A5C67" w14:paraId="73F02DC1" w14:textId="77777777" w:rsidTr="004B003E">
        <w:trPr>
          <w:trHeight w:val="276"/>
        </w:trPr>
        <w:tc>
          <w:tcPr>
            <w:tcW w:w="1069" w:type="dxa"/>
            <w:vMerge/>
            <w:tcBorders>
              <w:top w:val="nil"/>
              <w:left w:val="single" w:sz="4" w:space="0" w:color="auto"/>
              <w:bottom w:val="single" w:sz="4" w:space="0" w:color="auto"/>
              <w:right w:val="single" w:sz="4" w:space="0" w:color="auto"/>
            </w:tcBorders>
            <w:vAlign w:val="center"/>
            <w:hideMark/>
          </w:tcPr>
          <w:p w14:paraId="4A6A763B" w14:textId="77777777" w:rsidR="004B003E" w:rsidRPr="002A5C67" w:rsidRDefault="004B003E" w:rsidP="00D52997">
            <w:pPr>
              <w:rPr>
                <w:color w:val="000000"/>
                <w:lang w:val="fr-CA" w:eastAsia="fr-CA"/>
              </w:rPr>
            </w:pPr>
          </w:p>
        </w:tc>
        <w:tc>
          <w:tcPr>
            <w:tcW w:w="4035" w:type="dxa"/>
            <w:tcBorders>
              <w:top w:val="nil"/>
              <w:left w:val="nil"/>
              <w:bottom w:val="single" w:sz="4" w:space="0" w:color="auto"/>
              <w:right w:val="single" w:sz="4" w:space="0" w:color="auto"/>
            </w:tcBorders>
            <w:shd w:val="clear" w:color="000000" w:fill="FFFFFF"/>
            <w:vAlign w:val="center"/>
            <w:hideMark/>
          </w:tcPr>
          <w:p w14:paraId="71469D48" w14:textId="77777777" w:rsidR="004B003E" w:rsidRPr="002A5C67" w:rsidRDefault="004B003E" w:rsidP="00D52997">
            <w:pPr>
              <w:rPr>
                <w:color w:val="000000"/>
                <w:lang w:val="fr-CA" w:eastAsia="fr-CA"/>
              </w:rPr>
            </w:pPr>
            <w:r w:rsidRPr="002A5C67">
              <w:rPr>
                <w:color w:val="000000"/>
                <w:lang w:val="fr-CA" w:eastAsia="fr-CA"/>
              </w:rPr>
              <w:t>Zone 5</w:t>
            </w:r>
          </w:p>
        </w:tc>
        <w:tc>
          <w:tcPr>
            <w:tcW w:w="4678" w:type="dxa"/>
            <w:tcBorders>
              <w:top w:val="nil"/>
              <w:left w:val="nil"/>
              <w:bottom w:val="single" w:sz="4" w:space="0" w:color="auto"/>
              <w:right w:val="single" w:sz="4" w:space="0" w:color="auto"/>
            </w:tcBorders>
            <w:shd w:val="clear" w:color="000000" w:fill="FFFFFF"/>
            <w:vAlign w:val="center"/>
            <w:hideMark/>
          </w:tcPr>
          <w:p w14:paraId="3D0CC9EB" w14:textId="77777777" w:rsidR="004B003E" w:rsidRPr="002A5C67" w:rsidRDefault="004B003E" w:rsidP="00D52997">
            <w:pPr>
              <w:rPr>
                <w:color w:val="000000"/>
                <w:lang w:val="fr-CA" w:eastAsia="fr-CA"/>
              </w:rPr>
            </w:pPr>
            <w:r w:rsidRPr="002A5C67">
              <w:rPr>
                <w:color w:val="000000"/>
                <w:lang w:val="fr-CA" w:eastAsia="fr-CA"/>
              </w:rPr>
              <w:t>Régions Administratives de Mamou-100km et de Labé-100km)</w:t>
            </w:r>
          </w:p>
        </w:tc>
        <w:tc>
          <w:tcPr>
            <w:tcW w:w="964" w:type="dxa"/>
            <w:tcBorders>
              <w:top w:val="nil"/>
              <w:left w:val="nil"/>
              <w:bottom w:val="single" w:sz="4" w:space="0" w:color="auto"/>
              <w:right w:val="single" w:sz="4" w:space="0" w:color="auto"/>
            </w:tcBorders>
            <w:shd w:val="clear" w:color="000000" w:fill="FFFFFF"/>
            <w:vAlign w:val="center"/>
            <w:hideMark/>
          </w:tcPr>
          <w:p w14:paraId="2EAB1277" w14:textId="77777777" w:rsidR="004B003E" w:rsidRPr="002A5C67" w:rsidRDefault="004B003E" w:rsidP="00D52997">
            <w:pPr>
              <w:jc w:val="center"/>
              <w:rPr>
                <w:color w:val="000000"/>
                <w:lang w:val="fr-CA" w:eastAsia="fr-CA"/>
              </w:rPr>
            </w:pPr>
            <w:r w:rsidRPr="002A5C67">
              <w:rPr>
                <w:color w:val="000000"/>
                <w:lang w:val="fr-CA" w:eastAsia="fr-CA"/>
              </w:rPr>
              <w:t xml:space="preserve">                   200 </w:t>
            </w:r>
          </w:p>
        </w:tc>
      </w:tr>
      <w:tr w:rsidR="004B003E" w:rsidRPr="002A5C67" w14:paraId="47E0DC00" w14:textId="77777777" w:rsidTr="004B003E">
        <w:trPr>
          <w:trHeight w:val="276"/>
        </w:trPr>
        <w:tc>
          <w:tcPr>
            <w:tcW w:w="1069" w:type="dxa"/>
            <w:vMerge/>
            <w:tcBorders>
              <w:top w:val="nil"/>
              <w:left w:val="single" w:sz="4" w:space="0" w:color="auto"/>
              <w:bottom w:val="single" w:sz="4" w:space="0" w:color="auto"/>
              <w:right w:val="single" w:sz="4" w:space="0" w:color="auto"/>
            </w:tcBorders>
            <w:vAlign w:val="center"/>
            <w:hideMark/>
          </w:tcPr>
          <w:p w14:paraId="60182CBD" w14:textId="77777777" w:rsidR="004B003E" w:rsidRPr="002A5C67" w:rsidRDefault="004B003E" w:rsidP="00D52997">
            <w:pPr>
              <w:rPr>
                <w:color w:val="000000"/>
                <w:lang w:val="fr-CA" w:eastAsia="fr-CA"/>
              </w:rPr>
            </w:pPr>
          </w:p>
        </w:tc>
        <w:tc>
          <w:tcPr>
            <w:tcW w:w="4035" w:type="dxa"/>
            <w:tcBorders>
              <w:top w:val="nil"/>
              <w:left w:val="nil"/>
              <w:bottom w:val="single" w:sz="4" w:space="0" w:color="auto"/>
              <w:right w:val="single" w:sz="4" w:space="0" w:color="auto"/>
            </w:tcBorders>
            <w:shd w:val="clear" w:color="000000" w:fill="FFFFFF"/>
            <w:vAlign w:val="center"/>
            <w:hideMark/>
          </w:tcPr>
          <w:p w14:paraId="1A793098" w14:textId="77777777" w:rsidR="004B003E" w:rsidRPr="002A5C67" w:rsidRDefault="004B003E" w:rsidP="00D52997">
            <w:pPr>
              <w:rPr>
                <w:color w:val="000000"/>
                <w:lang w:val="fr-CA" w:eastAsia="fr-CA"/>
              </w:rPr>
            </w:pPr>
            <w:r w:rsidRPr="002A5C67">
              <w:rPr>
                <w:color w:val="000000"/>
                <w:lang w:val="fr-CA" w:eastAsia="fr-CA"/>
              </w:rPr>
              <w:t>Zone 6</w:t>
            </w:r>
          </w:p>
        </w:tc>
        <w:tc>
          <w:tcPr>
            <w:tcW w:w="4678" w:type="dxa"/>
            <w:tcBorders>
              <w:top w:val="nil"/>
              <w:left w:val="nil"/>
              <w:bottom w:val="single" w:sz="4" w:space="0" w:color="auto"/>
              <w:right w:val="single" w:sz="4" w:space="0" w:color="auto"/>
            </w:tcBorders>
            <w:shd w:val="clear" w:color="000000" w:fill="FFFFFF"/>
            <w:vAlign w:val="center"/>
            <w:hideMark/>
          </w:tcPr>
          <w:p w14:paraId="3649FA35" w14:textId="77777777" w:rsidR="004B003E" w:rsidRPr="002A5C67" w:rsidRDefault="004B003E" w:rsidP="00D52997">
            <w:pPr>
              <w:rPr>
                <w:color w:val="000000"/>
                <w:lang w:val="fr-CA" w:eastAsia="fr-CA"/>
              </w:rPr>
            </w:pPr>
            <w:r w:rsidRPr="002A5C67">
              <w:rPr>
                <w:color w:val="000000"/>
                <w:lang w:val="fr-CA" w:eastAsia="fr-CA"/>
              </w:rPr>
              <w:t>Régions Administratives de Kankan-105km; de Faranah-65km et de N’Zérékoré 65km</w:t>
            </w:r>
          </w:p>
        </w:tc>
        <w:tc>
          <w:tcPr>
            <w:tcW w:w="964" w:type="dxa"/>
            <w:tcBorders>
              <w:top w:val="nil"/>
              <w:left w:val="nil"/>
              <w:bottom w:val="single" w:sz="4" w:space="0" w:color="auto"/>
              <w:right w:val="single" w:sz="4" w:space="0" w:color="auto"/>
            </w:tcBorders>
            <w:shd w:val="clear" w:color="000000" w:fill="FFFFFF"/>
            <w:vAlign w:val="center"/>
            <w:hideMark/>
          </w:tcPr>
          <w:p w14:paraId="4F108591" w14:textId="77777777" w:rsidR="004B003E" w:rsidRPr="002A5C67" w:rsidRDefault="004B003E" w:rsidP="00D52997">
            <w:pPr>
              <w:jc w:val="center"/>
              <w:rPr>
                <w:color w:val="000000"/>
                <w:lang w:val="fr-CA" w:eastAsia="fr-CA"/>
              </w:rPr>
            </w:pPr>
            <w:r w:rsidRPr="002A5C67">
              <w:rPr>
                <w:color w:val="000000"/>
                <w:lang w:val="fr-CA" w:eastAsia="fr-CA"/>
              </w:rPr>
              <w:t xml:space="preserve">                   235 </w:t>
            </w:r>
          </w:p>
        </w:tc>
      </w:tr>
      <w:tr w:rsidR="004B003E" w:rsidRPr="002A5C67" w14:paraId="53FCF3AD" w14:textId="77777777" w:rsidTr="004B003E">
        <w:trPr>
          <w:trHeight w:val="276"/>
        </w:trPr>
        <w:tc>
          <w:tcPr>
            <w:tcW w:w="106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64BB0D" w14:textId="77777777" w:rsidR="004B003E" w:rsidRPr="002A5C67" w:rsidRDefault="004B003E" w:rsidP="00D52997">
            <w:pPr>
              <w:jc w:val="center"/>
              <w:rPr>
                <w:color w:val="000000"/>
                <w:lang w:val="fr-CA" w:eastAsia="fr-CA"/>
              </w:rPr>
            </w:pPr>
            <w:r w:rsidRPr="002A5C67">
              <w:rPr>
                <w:color w:val="000000"/>
                <w:lang w:val="fr-CA" w:eastAsia="fr-CA"/>
              </w:rPr>
              <w:t>RN30*</w:t>
            </w:r>
          </w:p>
        </w:tc>
        <w:tc>
          <w:tcPr>
            <w:tcW w:w="8713" w:type="dxa"/>
            <w:gridSpan w:val="2"/>
            <w:tcBorders>
              <w:top w:val="nil"/>
              <w:left w:val="nil"/>
              <w:bottom w:val="single" w:sz="4" w:space="0" w:color="auto"/>
              <w:right w:val="single" w:sz="4" w:space="0" w:color="auto"/>
            </w:tcBorders>
            <w:shd w:val="clear" w:color="000000" w:fill="FFFFFF"/>
            <w:noWrap/>
            <w:vAlign w:val="center"/>
            <w:hideMark/>
          </w:tcPr>
          <w:p w14:paraId="6B68AD66" w14:textId="77777777" w:rsidR="004B003E" w:rsidRPr="002A5C67" w:rsidRDefault="004B003E" w:rsidP="00D52997">
            <w:pPr>
              <w:rPr>
                <w:color w:val="000000"/>
                <w:lang w:val="fr-CA" w:eastAsia="fr-CA"/>
              </w:rPr>
            </w:pPr>
            <w:r w:rsidRPr="002A5C67">
              <w:rPr>
                <w:color w:val="000000"/>
                <w:lang w:val="fr-CA" w:eastAsia="fr-CA"/>
              </w:rPr>
              <w:t>E</w:t>
            </w:r>
            <w:r w:rsidRPr="002A5C67">
              <w:rPr>
                <w:b/>
                <w:bCs/>
                <w:color w:val="000000"/>
                <w:lang w:val="fr-CA" w:eastAsia="fr-CA"/>
              </w:rPr>
              <w:t>tudes techniques routières de 374 km de la Route Nationale</w:t>
            </w:r>
          </w:p>
        </w:tc>
        <w:tc>
          <w:tcPr>
            <w:tcW w:w="964" w:type="dxa"/>
            <w:tcBorders>
              <w:top w:val="nil"/>
              <w:left w:val="nil"/>
              <w:bottom w:val="single" w:sz="4" w:space="0" w:color="auto"/>
              <w:right w:val="single" w:sz="4" w:space="0" w:color="auto"/>
            </w:tcBorders>
            <w:shd w:val="clear" w:color="000000" w:fill="FFFFFF"/>
            <w:noWrap/>
            <w:vAlign w:val="center"/>
            <w:hideMark/>
          </w:tcPr>
          <w:p w14:paraId="29D10D6E" w14:textId="77777777" w:rsidR="004B003E" w:rsidRPr="002A5C67" w:rsidRDefault="004B003E" w:rsidP="00D52997">
            <w:pPr>
              <w:rPr>
                <w:color w:val="000000"/>
                <w:lang w:val="fr-CA" w:eastAsia="fr-CA"/>
              </w:rPr>
            </w:pPr>
            <w:r w:rsidRPr="002A5C67">
              <w:rPr>
                <w:color w:val="000000"/>
                <w:lang w:val="fr-CA" w:eastAsia="fr-CA"/>
              </w:rPr>
              <w:t> </w:t>
            </w:r>
          </w:p>
        </w:tc>
      </w:tr>
      <w:tr w:rsidR="004B003E" w:rsidRPr="002A5C67" w14:paraId="313C98A9" w14:textId="77777777" w:rsidTr="004B003E">
        <w:trPr>
          <w:trHeight w:val="276"/>
        </w:trPr>
        <w:tc>
          <w:tcPr>
            <w:tcW w:w="1069" w:type="dxa"/>
            <w:vMerge/>
            <w:tcBorders>
              <w:top w:val="nil"/>
              <w:left w:val="single" w:sz="4" w:space="0" w:color="auto"/>
              <w:bottom w:val="single" w:sz="4" w:space="0" w:color="000000"/>
              <w:right w:val="single" w:sz="4" w:space="0" w:color="auto"/>
            </w:tcBorders>
            <w:vAlign w:val="center"/>
            <w:hideMark/>
          </w:tcPr>
          <w:p w14:paraId="2A1D0EF6" w14:textId="77777777" w:rsidR="004B003E" w:rsidRPr="002A5C67" w:rsidRDefault="004B003E" w:rsidP="00D52997">
            <w:pPr>
              <w:rPr>
                <w:color w:val="000000"/>
                <w:lang w:val="fr-CA" w:eastAsia="fr-CA"/>
              </w:rPr>
            </w:pPr>
          </w:p>
        </w:tc>
        <w:tc>
          <w:tcPr>
            <w:tcW w:w="4035" w:type="dxa"/>
            <w:tcBorders>
              <w:top w:val="nil"/>
              <w:left w:val="nil"/>
              <w:bottom w:val="nil"/>
              <w:right w:val="single" w:sz="4" w:space="0" w:color="auto"/>
            </w:tcBorders>
            <w:shd w:val="clear" w:color="000000" w:fill="FFFFFF"/>
            <w:vAlign w:val="center"/>
            <w:hideMark/>
          </w:tcPr>
          <w:p w14:paraId="37D3C869" w14:textId="77777777" w:rsidR="004B003E" w:rsidRPr="002A5C67" w:rsidRDefault="004B003E" w:rsidP="00D52997">
            <w:pPr>
              <w:rPr>
                <w:color w:val="000000"/>
                <w:lang w:val="fr-CA" w:eastAsia="fr-CA"/>
              </w:rPr>
            </w:pPr>
            <w:r w:rsidRPr="002A5C67">
              <w:rPr>
                <w:color w:val="000000"/>
                <w:lang w:val="fr-CA" w:eastAsia="fr-CA"/>
              </w:rPr>
              <w:t>Zone 7</w:t>
            </w:r>
          </w:p>
        </w:tc>
        <w:tc>
          <w:tcPr>
            <w:tcW w:w="4678" w:type="dxa"/>
            <w:tcBorders>
              <w:top w:val="nil"/>
              <w:left w:val="nil"/>
              <w:bottom w:val="single" w:sz="4" w:space="0" w:color="auto"/>
              <w:right w:val="single" w:sz="4" w:space="0" w:color="auto"/>
            </w:tcBorders>
            <w:shd w:val="clear" w:color="000000" w:fill="FFFFFF"/>
            <w:vAlign w:val="center"/>
            <w:hideMark/>
          </w:tcPr>
          <w:p w14:paraId="52BC4434" w14:textId="77777777" w:rsidR="004B003E" w:rsidRPr="002A5C67" w:rsidRDefault="004B003E" w:rsidP="00D52997">
            <w:pPr>
              <w:rPr>
                <w:color w:val="000000"/>
                <w:lang w:val="fr-CA" w:eastAsia="fr-CA"/>
              </w:rPr>
            </w:pPr>
            <w:r w:rsidRPr="002A5C67">
              <w:rPr>
                <w:color w:val="000000"/>
                <w:lang w:val="fr-CA" w:eastAsia="fr-CA"/>
              </w:rPr>
              <w:t>Lot1 : PK0+00 (Dinguiraye)-PK 110+000 (Fifa) en 2x2 voies CORRIDOR NORD</w:t>
            </w:r>
          </w:p>
        </w:tc>
        <w:tc>
          <w:tcPr>
            <w:tcW w:w="964" w:type="dxa"/>
            <w:tcBorders>
              <w:top w:val="nil"/>
              <w:left w:val="nil"/>
              <w:bottom w:val="single" w:sz="4" w:space="0" w:color="auto"/>
              <w:right w:val="single" w:sz="4" w:space="0" w:color="auto"/>
            </w:tcBorders>
            <w:shd w:val="clear" w:color="000000" w:fill="FFFFFF"/>
            <w:vAlign w:val="center"/>
            <w:hideMark/>
          </w:tcPr>
          <w:p w14:paraId="1B91537D" w14:textId="77777777" w:rsidR="004B003E" w:rsidRPr="002A5C67" w:rsidRDefault="004B003E" w:rsidP="00D52997">
            <w:pPr>
              <w:jc w:val="center"/>
              <w:rPr>
                <w:color w:val="000000"/>
                <w:lang w:val="fr-CA" w:eastAsia="fr-CA"/>
              </w:rPr>
            </w:pPr>
            <w:r w:rsidRPr="002A5C67">
              <w:rPr>
                <w:color w:val="000000"/>
                <w:lang w:val="fr-CA" w:eastAsia="fr-CA"/>
              </w:rPr>
              <w:t xml:space="preserve">                   110 </w:t>
            </w:r>
          </w:p>
        </w:tc>
      </w:tr>
      <w:tr w:rsidR="004B003E" w:rsidRPr="002A5C67" w14:paraId="4726CB59" w14:textId="77777777" w:rsidTr="004B003E">
        <w:trPr>
          <w:trHeight w:val="276"/>
        </w:trPr>
        <w:tc>
          <w:tcPr>
            <w:tcW w:w="1069" w:type="dxa"/>
            <w:vMerge/>
            <w:tcBorders>
              <w:top w:val="nil"/>
              <w:left w:val="single" w:sz="4" w:space="0" w:color="auto"/>
              <w:bottom w:val="single" w:sz="4" w:space="0" w:color="000000"/>
              <w:right w:val="single" w:sz="4" w:space="0" w:color="auto"/>
            </w:tcBorders>
            <w:vAlign w:val="center"/>
            <w:hideMark/>
          </w:tcPr>
          <w:p w14:paraId="7CB95259" w14:textId="77777777" w:rsidR="004B003E" w:rsidRPr="002A5C67" w:rsidRDefault="004B003E" w:rsidP="00D52997">
            <w:pPr>
              <w:rPr>
                <w:color w:val="000000"/>
                <w:lang w:val="fr-CA" w:eastAsia="fr-CA"/>
              </w:rPr>
            </w:pPr>
          </w:p>
        </w:tc>
        <w:tc>
          <w:tcPr>
            <w:tcW w:w="4035" w:type="dxa"/>
            <w:tcBorders>
              <w:top w:val="single" w:sz="4" w:space="0" w:color="auto"/>
              <w:left w:val="nil"/>
              <w:bottom w:val="nil"/>
              <w:right w:val="single" w:sz="4" w:space="0" w:color="auto"/>
            </w:tcBorders>
            <w:shd w:val="clear" w:color="000000" w:fill="FFFFFF"/>
            <w:vAlign w:val="center"/>
            <w:hideMark/>
          </w:tcPr>
          <w:p w14:paraId="6C99210E" w14:textId="77777777" w:rsidR="004B003E" w:rsidRPr="002A5C67" w:rsidRDefault="004B003E" w:rsidP="00D52997">
            <w:pPr>
              <w:rPr>
                <w:color w:val="000000"/>
                <w:lang w:val="fr-CA" w:eastAsia="fr-CA"/>
              </w:rPr>
            </w:pPr>
            <w:r w:rsidRPr="002A5C67">
              <w:rPr>
                <w:color w:val="000000"/>
                <w:lang w:val="fr-CA" w:eastAsia="fr-CA"/>
              </w:rPr>
              <w:t>Zone 8</w:t>
            </w:r>
          </w:p>
        </w:tc>
        <w:tc>
          <w:tcPr>
            <w:tcW w:w="4678" w:type="dxa"/>
            <w:tcBorders>
              <w:top w:val="nil"/>
              <w:left w:val="nil"/>
              <w:bottom w:val="single" w:sz="4" w:space="0" w:color="auto"/>
              <w:right w:val="single" w:sz="4" w:space="0" w:color="auto"/>
            </w:tcBorders>
            <w:shd w:val="clear" w:color="000000" w:fill="FFFFFF"/>
            <w:vAlign w:val="center"/>
            <w:hideMark/>
          </w:tcPr>
          <w:p w14:paraId="499618B0" w14:textId="77777777" w:rsidR="004B003E" w:rsidRPr="002A5C67" w:rsidRDefault="004B003E" w:rsidP="00D52997">
            <w:pPr>
              <w:rPr>
                <w:color w:val="000000"/>
                <w:lang w:val="fr-CA" w:eastAsia="fr-CA"/>
              </w:rPr>
            </w:pPr>
            <w:r w:rsidRPr="002A5C67">
              <w:rPr>
                <w:color w:val="000000"/>
                <w:lang w:val="fr-CA" w:eastAsia="fr-CA"/>
              </w:rPr>
              <w:t>Lot2 : PK110+000(Fifa)-PK244+000(Kourémalen) en 2x2 voies CORRIDOR NORD</w:t>
            </w:r>
          </w:p>
        </w:tc>
        <w:tc>
          <w:tcPr>
            <w:tcW w:w="964" w:type="dxa"/>
            <w:tcBorders>
              <w:top w:val="nil"/>
              <w:left w:val="nil"/>
              <w:bottom w:val="single" w:sz="4" w:space="0" w:color="auto"/>
              <w:right w:val="single" w:sz="4" w:space="0" w:color="auto"/>
            </w:tcBorders>
            <w:shd w:val="clear" w:color="000000" w:fill="FFFFFF"/>
            <w:vAlign w:val="center"/>
            <w:hideMark/>
          </w:tcPr>
          <w:p w14:paraId="1E3DE27E" w14:textId="77777777" w:rsidR="004B003E" w:rsidRPr="002A5C67" w:rsidRDefault="004B003E" w:rsidP="00D52997">
            <w:pPr>
              <w:jc w:val="center"/>
              <w:rPr>
                <w:color w:val="000000"/>
                <w:lang w:val="fr-CA" w:eastAsia="fr-CA"/>
              </w:rPr>
            </w:pPr>
            <w:r w:rsidRPr="002A5C67">
              <w:rPr>
                <w:color w:val="000000"/>
                <w:lang w:val="fr-CA" w:eastAsia="fr-CA"/>
              </w:rPr>
              <w:t xml:space="preserve">                   144 </w:t>
            </w:r>
          </w:p>
        </w:tc>
      </w:tr>
      <w:tr w:rsidR="004B003E" w:rsidRPr="002A5C67" w14:paraId="102B352C" w14:textId="77777777" w:rsidTr="004B003E">
        <w:trPr>
          <w:trHeight w:val="276"/>
        </w:trPr>
        <w:tc>
          <w:tcPr>
            <w:tcW w:w="1069" w:type="dxa"/>
            <w:tcBorders>
              <w:top w:val="nil"/>
              <w:left w:val="single" w:sz="4" w:space="0" w:color="auto"/>
              <w:bottom w:val="single" w:sz="4" w:space="0" w:color="auto"/>
              <w:right w:val="single" w:sz="4" w:space="0" w:color="auto"/>
            </w:tcBorders>
            <w:vAlign w:val="center"/>
            <w:hideMark/>
          </w:tcPr>
          <w:p w14:paraId="3653EB6D" w14:textId="77777777" w:rsidR="004B003E" w:rsidRPr="002A5C67" w:rsidRDefault="004B003E" w:rsidP="00D52997">
            <w:pPr>
              <w:jc w:val="center"/>
              <w:rPr>
                <w:color w:val="000000"/>
                <w:lang w:val="fr-CA" w:eastAsia="fr-CA"/>
              </w:rPr>
            </w:pPr>
            <w:r w:rsidRPr="002A5C67">
              <w:rPr>
                <w:color w:val="000000"/>
                <w:lang w:val="fr-CA" w:eastAsia="fr-CA"/>
              </w:rPr>
              <w:t> </w:t>
            </w:r>
          </w:p>
        </w:tc>
        <w:tc>
          <w:tcPr>
            <w:tcW w:w="4035" w:type="dxa"/>
            <w:tcBorders>
              <w:top w:val="single" w:sz="4" w:space="0" w:color="auto"/>
              <w:left w:val="nil"/>
              <w:bottom w:val="nil"/>
              <w:right w:val="single" w:sz="4" w:space="0" w:color="auto"/>
            </w:tcBorders>
            <w:shd w:val="clear" w:color="000000" w:fill="FFFFFF"/>
            <w:vAlign w:val="center"/>
            <w:hideMark/>
          </w:tcPr>
          <w:p w14:paraId="4C7B831F" w14:textId="77777777" w:rsidR="004B003E" w:rsidRPr="002A5C67" w:rsidRDefault="004B003E" w:rsidP="00D52997">
            <w:pPr>
              <w:rPr>
                <w:color w:val="000000"/>
                <w:lang w:val="fr-CA" w:eastAsia="fr-CA"/>
              </w:rPr>
            </w:pPr>
            <w:r w:rsidRPr="002A5C67">
              <w:rPr>
                <w:color w:val="000000"/>
                <w:lang w:val="fr-CA" w:eastAsia="fr-CA"/>
              </w:rPr>
              <w:t>Zone 9</w:t>
            </w:r>
          </w:p>
        </w:tc>
        <w:tc>
          <w:tcPr>
            <w:tcW w:w="4678" w:type="dxa"/>
            <w:tcBorders>
              <w:top w:val="nil"/>
              <w:left w:val="nil"/>
              <w:bottom w:val="single" w:sz="4" w:space="0" w:color="auto"/>
              <w:right w:val="single" w:sz="4" w:space="0" w:color="auto"/>
            </w:tcBorders>
            <w:vAlign w:val="center"/>
            <w:hideMark/>
          </w:tcPr>
          <w:p w14:paraId="396223E3" w14:textId="77777777" w:rsidR="004B003E" w:rsidRPr="002A5C67" w:rsidRDefault="004B003E" w:rsidP="00D52997">
            <w:pPr>
              <w:jc w:val="both"/>
              <w:rPr>
                <w:color w:val="000000"/>
                <w:lang w:val="fr-CA" w:eastAsia="fr-CA"/>
              </w:rPr>
            </w:pPr>
            <w:r w:rsidRPr="002A5C67">
              <w:rPr>
                <w:color w:val="000000"/>
                <w:lang w:val="fr-CA" w:eastAsia="fr-CA"/>
              </w:rPr>
              <w:t>Lot3 : SIGON (Intersection RN8) - Balaki-Frt Sénégal</w:t>
            </w:r>
          </w:p>
        </w:tc>
        <w:tc>
          <w:tcPr>
            <w:tcW w:w="964" w:type="dxa"/>
            <w:tcBorders>
              <w:top w:val="nil"/>
              <w:left w:val="nil"/>
              <w:bottom w:val="single" w:sz="4" w:space="0" w:color="auto"/>
              <w:right w:val="single" w:sz="4" w:space="0" w:color="auto"/>
            </w:tcBorders>
            <w:vAlign w:val="center"/>
            <w:hideMark/>
          </w:tcPr>
          <w:p w14:paraId="05079D53" w14:textId="77777777" w:rsidR="004B003E" w:rsidRPr="002A5C67" w:rsidRDefault="004B003E" w:rsidP="00D52997">
            <w:pPr>
              <w:jc w:val="center"/>
              <w:rPr>
                <w:color w:val="000000"/>
                <w:lang w:val="fr-CA" w:eastAsia="fr-CA"/>
              </w:rPr>
            </w:pPr>
            <w:r w:rsidRPr="002A5C67">
              <w:rPr>
                <w:color w:val="000000"/>
                <w:lang w:val="fr-CA" w:eastAsia="fr-CA"/>
              </w:rPr>
              <w:t xml:space="preserve">                   120 </w:t>
            </w:r>
          </w:p>
        </w:tc>
      </w:tr>
      <w:tr w:rsidR="004B003E" w:rsidRPr="002A5C67" w14:paraId="22C86D5B" w14:textId="77777777" w:rsidTr="004B003E">
        <w:trPr>
          <w:trHeight w:val="276"/>
        </w:trPr>
        <w:tc>
          <w:tcPr>
            <w:tcW w:w="1069" w:type="dxa"/>
            <w:tcBorders>
              <w:top w:val="nil"/>
              <w:left w:val="single" w:sz="4" w:space="0" w:color="auto"/>
              <w:bottom w:val="single" w:sz="4" w:space="0" w:color="auto"/>
              <w:right w:val="single" w:sz="4" w:space="0" w:color="auto"/>
            </w:tcBorders>
            <w:shd w:val="clear" w:color="000000" w:fill="FFFFFF"/>
            <w:vAlign w:val="center"/>
            <w:hideMark/>
          </w:tcPr>
          <w:p w14:paraId="64A39F6A" w14:textId="77777777" w:rsidR="004B003E" w:rsidRPr="002A5C67" w:rsidRDefault="004B003E" w:rsidP="00D52997">
            <w:pPr>
              <w:jc w:val="center"/>
              <w:rPr>
                <w:color w:val="000000"/>
                <w:lang w:val="fr-CA" w:eastAsia="fr-CA"/>
              </w:rPr>
            </w:pPr>
            <w:r w:rsidRPr="002A5C67">
              <w:rPr>
                <w:color w:val="000000"/>
                <w:lang w:val="fr-CA" w:eastAsia="fr-CA"/>
              </w:rPr>
              <w:t> </w:t>
            </w:r>
          </w:p>
        </w:tc>
        <w:tc>
          <w:tcPr>
            <w:tcW w:w="871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4279BD1" w14:textId="77777777" w:rsidR="004B003E" w:rsidRPr="002A5C67" w:rsidRDefault="004B003E" w:rsidP="00D52997">
            <w:pPr>
              <w:rPr>
                <w:color w:val="000000"/>
                <w:lang w:val="fr-CA" w:eastAsia="fr-CA"/>
              </w:rPr>
            </w:pPr>
            <w:r w:rsidRPr="002A5C67">
              <w:rPr>
                <w:color w:val="000000"/>
                <w:lang w:val="fr-CA" w:eastAsia="fr-CA"/>
              </w:rPr>
              <w:t>E</w:t>
            </w:r>
            <w:r w:rsidRPr="002A5C67">
              <w:rPr>
                <w:b/>
                <w:bCs/>
                <w:color w:val="000000"/>
                <w:lang w:val="fr-CA" w:eastAsia="fr-CA"/>
              </w:rPr>
              <w:t xml:space="preserve">tudes techniques routières de 240 km des Routes Nationales N° 38 et 41 </w:t>
            </w:r>
          </w:p>
        </w:tc>
        <w:tc>
          <w:tcPr>
            <w:tcW w:w="964" w:type="dxa"/>
            <w:tcBorders>
              <w:top w:val="nil"/>
              <w:left w:val="nil"/>
              <w:bottom w:val="single" w:sz="4" w:space="0" w:color="auto"/>
              <w:right w:val="single" w:sz="4" w:space="0" w:color="auto"/>
            </w:tcBorders>
            <w:shd w:val="clear" w:color="000000" w:fill="FFFFFF"/>
            <w:noWrap/>
            <w:vAlign w:val="center"/>
            <w:hideMark/>
          </w:tcPr>
          <w:p w14:paraId="2E9199DD" w14:textId="77777777" w:rsidR="004B003E" w:rsidRPr="002A5C67" w:rsidRDefault="004B003E" w:rsidP="00D52997">
            <w:pPr>
              <w:rPr>
                <w:color w:val="000000"/>
                <w:lang w:val="fr-CA" w:eastAsia="fr-CA"/>
              </w:rPr>
            </w:pPr>
            <w:r w:rsidRPr="002A5C67">
              <w:rPr>
                <w:color w:val="000000"/>
                <w:lang w:val="fr-CA" w:eastAsia="fr-CA"/>
              </w:rPr>
              <w:t> </w:t>
            </w:r>
          </w:p>
        </w:tc>
      </w:tr>
      <w:tr w:rsidR="004B003E" w:rsidRPr="002A5C67" w14:paraId="6954950F" w14:textId="77777777" w:rsidTr="004B003E">
        <w:trPr>
          <w:trHeight w:val="276"/>
        </w:trPr>
        <w:tc>
          <w:tcPr>
            <w:tcW w:w="1069" w:type="dxa"/>
            <w:tcBorders>
              <w:top w:val="nil"/>
              <w:left w:val="single" w:sz="4" w:space="0" w:color="auto"/>
              <w:bottom w:val="single" w:sz="4" w:space="0" w:color="auto"/>
              <w:right w:val="single" w:sz="4" w:space="0" w:color="auto"/>
            </w:tcBorders>
            <w:vAlign w:val="center"/>
            <w:hideMark/>
          </w:tcPr>
          <w:p w14:paraId="7E180D21" w14:textId="77777777" w:rsidR="004B003E" w:rsidRPr="002A5C67" w:rsidRDefault="004B003E" w:rsidP="00D52997">
            <w:pPr>
              <w:jc w:val="center"/>
              <w:rPr>
                <w:color w:val="000000"/>
                <w:lang w:val="fr-CA" w:eastAsia="fr-CA"/>
              </w:rPr>
            </w:pPr>
            <w:r w:rsidRPr="002A5C67">
              <w:rPr>
                <w:color w:val="000000"/>
                <w:lang w:val="fr-CA" w:eastAsia="fr-CA"/>
              </w:rPr>
              <w:t>RN38</w:t>
            </w:r>
          </w:p>
        </w:tc>
        <w:tc>
          <w:tcPr>
            <w:tcW w:w="40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BC995B" w14:textId="77777777" w:rsidR="004B003E" w:rsidRPr="002A5C67" w:rsidRDefault="004B003E" w:rsidP="00D52997">
            <w:pPr>
              <w:rPr>
                <w:color w:val="000000"/>
                <w:lang w:val="fr-CA" w:eastAsia="fr-CA"/>
              </w:rPr>
            </w:pPr>
            <w:r w:rsidRPr="002A5C67">
              <w:rPr>
                <w:color w:val="000000"/>
                <w:lang w:val="fr-CA" w:eastAsia="fr-CA"/>
              </w:rPr>
              <w:t>Zone 10</w:t>
            </w:r>
          </w:p>
        </w:tc>
        <w:tc>
          <w:tcPr>
            <w:tcW w:w="4678" w:type="dxa"/>
            <w:tcBorders>
              <w:top w:val="nil"/>
              <w:left w:val="nil"/>
              <w:bottom w:val="single" w:sz="4" w:space="0" w:color="auto"/>
              <w:right w:val="single" w:sz="4" w:space="0" w:color="auto"/>
            </w:tcBorders>
            <w:vAlign w:val="center"/>
            <w:hideMark/>
          </w:tcPr>
          <w:p w14:paraId="0D542755" w14:textId="77777777" w:rsidR="004B003E" w:rsidRPr="002A5C67" w:rsidRDefault="004B003E" w:rsidP="00D52997">
            <w:pPr>
              <w:jc w:val="both"/>
              <w:rPr>
                <w:color w:val="000000"/>
                <w:lang w:val="fr-CA" w:eastAsia="fr-CA"/>
              </w:rPr>
            </w:pPr>
            <w:r w:rsidRPr="002A5C67">
              <w:rPr>
                <w:color w:val="000000"/>
                <w:lang w:val="fr-CA" w:eastAsia="fr-CA"/>
              </w:rPr>
              <w:t>Boula - Sinko (Intersection RN18)</w:t>
            </w:r>
          </w:p>
        </w:tc>
        <w:tc>
          <w:tcPr>
            <w:tcW w:w="964" w:type="dxa"/>
            <w:tcBorders>
              <w:top w:val="nil"/>
              <w:left w:val="nil"/>
              <w:bottom w:val="single" w:sz="4" w:space="0" w:color="auto"/>
              <w:right w:val="single" w:sz="4" w:space="0" w:color="auto"/>
            </w:tcBorders>
            <w:vAlign w:val="center"/>
            <w:hideMark/>
          </w:tcPr>
          <w:p w14:paraId="70759150" w14:textId="77777777" w:rsidR="004B003E" w:rsidRPr="002A5C67" w:rsidRDefault="004B003E" w:rsidP="00D52997">
            <w:pPr>
              <w:jc w:val="center"/>
              <w:rPr>
                <w:color w:val="000000"/>
                <w:lang w:val="fr-CA" w:eastAsia="fr-CA"/>
              </w:rPr>
            </w:pPr>
            <w:r w:rsidRPr="002A5C67">
              <w:rPr>
                <w:color w:val="000000"/>
                <w:lang w:val="fr-CA" w:eastAsia="fr-CA"/>
              </w:rPr>
              <w:t xml:space="preserve">                   123 </w:t>
            </w:r>
          </w:p>
        </w:tc>
      </w:tr>
      <w:tr w:rsidR="004B003E" w:rsidRPr="002A5C67" w14:paraId="5F834316" w14:textId="77777777" w:rsidTr="004B003E">
        <w:trPr>
          <w:trHeight w:val="276"/>
        </w:trPr>
        <w:tc>
          <w:tcPr>
            <w:tcW w:w="1069" w:type="dxa"/>
            <w:tcBorders>
              <w:top w:val="nil"/>
              <w:left w:val="single" w:sz="4" w:space="0" w:color="auto"/>
              <w:bottom w:val="single" w:sz="4" w:space="0" w:color="auto"/>
              <w:right w:val="single" w:sz="4" w:space="0" w:color="auto"/>
            </w:tcBorders>
            <w:vAlign w:val="center"/>
            <w:hideMark/>
          </w:tcPr>
          <w:p w14:paraId="6CE748F9" w14:textId="77777777" w:rsidR="004B003E" w:rsidRPr="002A5C67" w:rsidRDefault="004B003E" w:rsidP="00D52997">
            <w:pPr>
              <w:jc w:val="center"/>
              <w:rPr>
                <w:color w:val="000000"/>
                <w:lang w:val="fr-CA" w:eastAsia="fr-CA"/>
              </w:rPr>
            </w:pPr>
            <w:r w:rsidRPr="002A5C67">
              <w:rPr>
                <w:color w:val="000000"/>
                <w:lang w:val="fr-CA" w:eastAsia="fr-CA"/>
              </w:rPr>
              <w:t>RN41</w:t>
            </w:r>
          </w:p>
        </w:tc>
        <w:tc>
          <w:tcPr>
            <w:tcW w:w="4035" w:type="dxa"/>
            <w:vMerge/>
            <w:tcBorders>
              <w:top w:val="nil"/>
              <w:left w:val="single" w:sz="4" w:space="0" w:color="auto"/>
              <w:bottom w:val="single" w:sz="4" w:space="0" w:color="000000"/>
              <w:right w:val="single" w:sz="4" w:space="0" w:color="auto"/>
            </w:tcBorders>
            <w:vAlign w:val="center"/>
            <w:hideMark/>
          </w:tcPr>
          <w:p w14:paraId="7FE76134" w14:textId="77777777" w:rsidR="004B003E" w:rsidRPr="002A5C67" w:rsidRDefault="004B003E" w:rsidP="00D52997">
            <w:pPr>
              <w:rPr>
                <w:color w:val="000000"/>
                <w:lang w:val="fr-CA" w:eastAsia="fr-CA"/>
              </w:rPr>
            </w:pPr>
          </w:p>
        </w:tc>
        <w:tc>
          <w:tcPr>
            <w:tcW w:w="4678" w:type="dxa"/>
            <w:tcBorders>
              <w:top w:val="nil"/>
              <w:left w:val="nil"/>
              <w:bottom w:val="single" w:sz="4" w:space="0" w:color="auto"/>
              <w:right w:val="single" w:sz="4" w:space="0" w:color="auto"/>
            </w:tcBorders>
            <w:vAlign w:val="center"/>
            <w:hideMark/>
          </w:tcPr>
          <w:p w14:paraId="6A8905B1" w14:textId="77777777" w:rsidR="004B003E" w:rsidRPr="002A5C67" w:rsidRDefault="004B003E" w:rsidP="00D52997">
            <w:pPr>
              <w:jc w:val="both"/>
              <w:rPr>
                <w:color w:val="000000"/>
                <w:lang w:val="fr-CA" w:eastAsia="fr-CA"/>
              </w:rPr>
            </w:pPr>
            <w:r w:rsidRPr="002A5C67">
              <w:rPr>
                <w:color w:val="000000"/>
                <w:lang w:val="fr-CA" w:eastAsia="fr-CA"/>
              </w:rPr>
              <w:t xml:space="preserve">Boola -Foumbadou - Guéyasso - Frontière Côte d'Ivoire </w:t>
            </w:r>
          </w:p>
        </w:tc>
        <w:tc>
          <w:tcPr>
            <w:tcW w:w="964" w:type="dxa"/>
            <w:tcBorders>
              <w:top w:val="nil"/>
              <w:left w:val="nil"/>
              <w:bottom w:val="single" w:sz="4" w:space="0" w:color="auto"/>
              <w:right w:val="single" w:sz="4" w:space="0" w:color="auto"/>
            </w:tcBorders>
            <w:vAlign w:val="center"/>
            <w:hideMark/>
          </w:tcPr>
          <w:p w14:paraId="25AC569B" w14:textId="77777777" w:rsidR="004B003E" w:rsidRPr="002A5C67" w:rsidRDefault="004B003E" w:rsidP="00D52997">
            <w:pPr>
              <w:jc w:val="center"/>
              <w:rPr>
                <w:color w:val="000000"/>
                <w:lang w:val="fr-CA" w:eastAsia="fr-CA"/>
              </w:rPr>
            </w:pPr>
            <w:r w:rsidRPr="002A5C67">
              <w:rPr>
                <w:color w:val="000000"/>
                <w:lang w:val="fr-CA" w:eastAsia="fr-CA"/>
              </w:rPr>
              <w:t xml:space="preserve">                   117 </w:t>
            </w:r>
          </w:p>
        </w:tc>
      </w:tr>
      <w:tr w:rsidR="004B003E" w:rsidRPr="002A5C67" w14:paraId="240E908E" w14:textId="77777777" w:rsidTr="004B003E">
        <w:trPr>
          <w:trHeight w:val="276"/>
        </w:trPr>
        <w:tc>
          <w:tcPr>
            <w:tcW w:w="1069" w:type="dxa"/>
            <w:tcBorders>
              <w:top w:val="nil"/>
              <w:left w:val="single" w:sz="4" w:space="0" w:color="auto"/>
              <w:bottom w:val="single" w:sz="4" w:space="0" w:color="auto"/>
              <w:right w:val="single" w:sz="4" w:space="0" w:color="auto"/>
            </w:tcBorders>
            <w:shd w:val="clear" w:color="000000" w:fill="FFFFFF"/>
            <w:vAlign w:val="center"/>
            <w:hideMark/>
          </w:tcPr>
          <w:p w14:paraId="49B18779" w14:textId="77777777" w:rsidR="004B003E" w:rsidRPr="002A5C67" w:rsidRDefault="004B003E" w:rsidP="00D52997">
            <w:pPr>
              <w:rPr>
                <w:color w:val="000000"/>
                <w:lang w:val="fr-CA" w:eastAsia="fr-CA"/>
              </w:rPr>
            </w:pPr>
            <w:r w:rsidRPr="002A5C67">
              <w:rPr>
                <w:color w:val="000000"/>
                <w:lang w:val="fr-CA" w:eastAsia="fr-CA"/>
              </w:rPr>
              <w:t> </w:t>
            </w:r>
          </w:p>
        </w:tc>
        <w:tc>
          <w:tcPr>
            <w:tcW w:w="8713" w:type="dxa"/>
            <w:gridSpan w:val="2"/>
            <w:tcBorders>
              <w:top w:val="nil"/>
              <w:left w:val="nil"/>
              <w:bottom w:val="single" w:sz="4" w:space="0" w:color="auto"/>
              <w:right w:val="single" w:sz="4" w:space="0" w:color="auto"/>
            </w:tcBorders>
            <w:shd w:val="clear" w:color="000000" w:fill="FFFFFF"/>
            <w:noWrap/>
            <w:vAlign w:val="center"/>
            <w:hideMark/>
          </w:tcPr>
          <w:p w14:paraId="3AA6F6B0" w14:textId="77777777" w:rsidR="004B003E" w:rsidRPr="002A5C67" w:rsidRDefault="004B003E" w:rsidP="00D52997">
            <w:pPr>
              <w:rPr>
                <w:color w:val="000000"/>
                <w:lang w:val="fr-CA" w:eastAsia="fr-CA"/>
              </w:rPr>
            </w:pPr>
            <w:r w:rsidRPr="002A5C67">
              <w:rPr>
                <w:color w:val="000000"/>
                <w:lang w:val="fr-CA" w:eastAsia="fr-CA"/>
              </w:rPr>
              <w:t>E</w:t>
            </w:r>
            <w:r w:rsidRPr="002A5C67">
              <w:rPr>
                <w:b/>
                <w:bCs/>
                <w:color w:val="000000"/>
                <w:lang w:val="fr-CA" w:eastAsia="fr-CA"/>
              </w:rPr>
              <w:t>tudes techniques routières de 250 km des Routes Nationales N°9 et 22</w:t>
            </w:r>
          </w:p>
        </w:tc>
        <w:tc>
          <w:tcPr>
            <w:tcW w:w="964" w:type="dxa"/>
            <w:tcBorders>
              <w:top w:val="nil"/>
              <w:left w:val="nil"/>
              <w:bottom w:val="single" w:sz="4" w:space="0" w:color="auto"/>
              <w:right w:val="single" w:sz="4" w:space="0" w:color="auto"/>
            </w:tcBorders>
            <w:shd w:val="clear" w:color="000000" w:fill="FFFFFF"/>
            <w:noWrap/>
            <w:vAlign w:val="center"/>
            <w:hideMark/>
          </w:tcPr>
          <w:p w14:paraId="32528D96" w14:textId="77777777" w:rsidR="004B003E" w:rsidRPr="002A5C67" w:rsidRDefault="004B003E" w:rsidP="00D52997">
            <w:pPr>
              <w:rPr>
                <w:color w:val="000000"/>
                <w:lang w:val="fr-CA" w:eastAsia="fr-CA"/>
              </w:rPr>
            </w:pPr>
            <w:r w:rsidRPr="002A5C67">
              <w:rPr>
                <w:color w:val="000000"/>
                <w:lang w:val="fr-CA" w:eastAsia="fr-CA"/>
              </w:rPr>
              <w:t> </w:t>
            </w:r>
          </w:p>
        </w:tc>
      </w:tr>
      <w:tr w:rsidR="004B003E" w:rsidRPr="002A5C67" w14:paraId="3C9275D3" w14:textId="77777777" w:rsidTr="004B003E">
        <w:trPr>
          <w:trHeight w:val="276"/>
        </w:trPr>
        <w:tc>
          <w:tcPr>
            <w:tcW w:w="1069" w:type="dxa"/>
            <w:tcBorders>
              <w:top w:val="nil"/>
              <w:left w:val="single" w:sz="4" w:space="0" w:color="auto"/>
              <w:bottom w:val="single" w:sz="4" w:space="0" w:color="auto"/>
              <w:right w:val="single" w:sz="4" w:space="0" w:color="auto"/>
            </w:tcBorders>
            <w:shd w:val="clear" w:color="000000" w:fill="FFFFFF"/>
            <w:vAlign w:val="center"/>
            <w:hideMark/>
          </w:tcPr>
          <w:p w14:paraId="5DCC61FD" w14:textId="77777777" w:rsidR="004B003E" w:rsidRPr="002A5C67" w:rsidRDefault="004B003E" w:rsidP="00D52997">
            <w:pPr>
              <w:jc w:val="center"/>
              <w:rPr>
                <w:color w:val="000000"/>
                <w:lang w:val="fr-CA" w:eastAsia="fr-CA"/>
              </w:rPr>
            </w:pPr>
            <w:r w:rsidRPr="002A5C67">
              <w:rPr>
                <w:color w:val="000000"/>
                <w:lang w:val="fr-CA" w:eastAsia="fr-CA"/>
              </w:rPr>
              <w:t>RN9</w:t>
            </w:r>
          </w:p>
        </w:tc>
        <w:tc>
          <w:tcPr>
            <w:tcW w:w="40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D80EEA" w14:textId="77777777" w:rsidR="004B003E" w:rsidRPr="002A5C67" w:rsidRDefault="004B003E" w:rsidP="00D52997">
            <w:pPr>
              <w:rPr>
                <w:color w:val="000000"/>
                <w:lang w:val="fr-CA" w:eastAsia="fr-CA"/>
              </w:rPr>
            </w:pPr>
            <w:r w:rsidRPr="002A5C67">
              <w:rPr>
                <w:color w:val="000000"/>
                <w:lang w:val="fr-CA" w:eastAsia="fr-CA"/>
              </w:rPr>
              <w:t>Zone 11</w:t>
            </w:r>
          </w:p>
        </w:tc>
        <w:tc>
          <w:tcPr>
            <w:tcW w:w="4678" w:type="dxa"/>
            <w:tcBorders>
              <w:top w:val="nil"/>
              <w:left w:val="nil"/>
              <w:bottom w:val="single" w:sz="4" w:space="0" w:color="auto"/>
              <w:right w:val="single" w:sz="4" w:space="0" w:color="auto"/>
            </w:tcBorders>
            <w:shd w:val="clear" w:color="000000" w:fill="FFFFFF"/>
            <w:vAlign w:val="center"/>
            <w:hideMark/>
          </w:tcPr>
          <w:p w14:paraId="6FC0DEFA" w14:textId="77777777" w:rsidR="004B003E" w:rsidRPr="002A5C67" w:rsidRDefault="004B003E" w:rsidP="00D52997">
            <w:pPr>
              <w:jc w:val="both"/>
              <w:rPr>
                <w:color w:val="000000"/>
                <w:lang w:val="fr-CA" w:eastAsia="fr-CA"/>
              </w:rPr>
            </w:pPr>
            <w:r w:rsidRPr="002A5C67">
              <w:rPr>
                <w:color w:val="000000"/>
                <w:lang w:val="fr-CA" w:eastAsia="fr-CA"/>
              </w:rPr>
              <w:t xml:space="preserve">Mali - Koundara - frontière Guinée-Bissau </w:t>
            </w:r>
          </w:p>
        </w:tc>
        <w:tc>
          <w:tcPr>
            <w:tcW w:w="964" w:type="dxa"/>
            <w:tcBorders>
              <w:top w:val="nil"/>
              <w:left w:val="nil"/>
              <w:bottom w:val="single" w:sz="4" w:space="0" w:color="auto"/>
              <w:right w:val="single" w:sz="4" w:space="0" w:color="auto"/>
            </w:tcBorders>
            <w:shd w:val="clear" w:color="000000" w:fill="FFFFFF"/>
            <w:vAlign w:val="center"/>
            <w:hideMark/>
          </w:tcPr>
          <w:p w14:paraId="553710F5" w14:textId="77777777" w:rsidR="004B003E" w:rsidRPr="002A5C67" w:rsidRDefault="004B003E" w:rsidP="00D52997">
            <w:pPr>
              <w:jc w:val="center"/>
              <w:rPr>
                <w:color w:val="000000"/>
                <w:lang w:val="fr-CA" w:eastAsia="fr-CA"/>
              </w:rPr>
            </w:pPr>
            <w:r w:rsidRPr="002A5C67">
              <w:rPr>
                <w:color w:val="000000"/>
                <w:lang w:val="fr-CA" w:eastAsia="fr-CA"/>
              </w:rPr>
              <w:t xml:space="preserve">                   179 </w:t>
            </w:r>
          </w:p>
        </w:tc>
      </w:tr>
      <w:tr w:rsidR="004B003E" w:rsidRPr="002A5C67" w14:paraId="4AA76ADA" w14:textId="77777777" w:rsidTr="004B003E">
        <w:trPr>
          <w:trHeight w:val="276"/>
        </w:trPr>
        <w:tc>
          <w:tcPr>
            <w:tcW w:w="1069" w:type="dxa"/>
            <w:tcBorders>
              <w:top w:val="nil"/>
              <w:left w:val="single" w:sz="4" w:space="0" w:color="auto"/>
              <w:bottom w:val="single" w:sz="4" w:space="0" w:color="auto"/>
              <w:right w:val="single" w:sz="4" w:space="0" w:color="auto"/>
            </w:tcBorders>
            <w:vAlign w:val="center"/>
            <w:hideMark/>
          </w:tcPr>
          <w:p w14:paraId="59BEEBEE" w14:textId="77777777" w:rsidR="004B003E" w:rsidRPr="002A5C67" w:rsidRDefault="004B003E" w:rsidP="00D52997">
            <w:pPr>
              <w:jc w:val="center"/>
              <w:rPr>
                <w:color w:val="000000"/>
                <w:lang w:val="fr-CA" w:eastAsia="fr-CA"/>
              </w:rPr>
            </w:pPr>
            <w:r w:rsidRPr="002A5C67">
              <w:rPr>
                <w:color w:val="000000"/>
                <w:lang w:val="fr-CA" w:eastAsia="fr-CA"/>
              </w:rPr>
              <w:t>RN22</w:t>
            </w:r>
          </w:p>
        </w:tc>
        <w:tc>
          <w:tcPr>
            <w:tcW w:w="4035" w:type="dxa"/>
            <w:vMerge/>
            <w:tcBorders>
              <w:top w:val="nil"/>
              <w:left w:val="single" w:sz="4" w:space="0" w:color="auto"/>
              <w:bottom w:val="single" w:sz="4" w:space="0" w:color="000000"/>
              <w:right w:val="single" w:sz="4" w:space="0" w:color="auto"/>
            </w:tcBorders>
            <w:vAlign w:val="center"/>
            <w:hideMark/>
          </w:tcPr>
          <w:p w14:paraId="0C6DDFDB" w14:textId="77777777" w:rsidR="004B003E" w:rsidRPr="002A5C67" w:rsidRDefault="004B003E" w:rsidP="00D52997">
            <w:pPr>
              <w:rPr>
                <w:color w:val="000000"/>
                <w:lang w:val="fr-CA" w:eastAsia="fr-CA"/>
              </w:rPr>
            </w:pPr>
          </w:p>
        </w:tc>
        <w:tc>
          <w:tcPr>
            <w:tcW w:w="4678" w:type="dxa"/>
            <w:tcBorders>
              <w:top w:val="nil"/>
              <w:left w:val="nil"/>
              <w:bottom w:val="single" w:sz="4" w:space="0" w:color="auto"/>
              <w:right w:val="single" w:sz="4" w:space="0" w:color="auto"/>
            </w:tcBorders>
            <w:vAlign w:val="center"/>
            <w:hideMark/>
          </w:tcPr>
          <w:p w14:paraId="6E319897" w14:textId="7E896335" w:rsidR="004B003E" w:rsidRPr="002A5C67" w:rsidRDefault="004B003E" w:rsidP="00D52997">
            <w:pPr>
              <w:jc w:val="both"/>
              <w:rPr>
                <w:color w:val="000000"/>
                <w:lang w:val="fr-CA" w:eastAsia="fr-CA"/>
              </w:rPr>
            </w:pPr>
            <w:r w:rsidRPr="002A5C67">
              <w:rPr>
                <w:color w:val="000000"/>
                <w:lang w:val="fr-CA" w:eastAsia="fr-CA"/>
              </w:rPr>
              <w:t xml:space="preserve">Sangaredi - </w:t>
            </w:r>
            <w:r w:rsidRPr="002A5C67">
              <w:rPr>
                <w:color w:val="000000"/>
                <w:lang w:val="fr-CA" w:eastAsia="fr-CA"/>
              </w:rPr>
              <w:t>Télimélé</w:t>
            </w:r>
          </w:p>
        </w:tc>
        <w:tc>
          <w:tcPr>
            <w:tcW w:w="964" w:type="dxa"/>
            <w:tcBorders>
              <w:top w:val="nil"/>
              <w:left w:val="nil"/>
              <w:bottom w:val="single" w:sz="4" w:space="0" w:color="auto"/>
              <w:right w:val="single" w:sz="4" w:space="0" w:color="auto"/>
            </w:tcBorders>
            <w:shd w:val="clear" w:color="000000" w:fill="FFFFFF"/>
            <w:vAlign w:val="center"/>
            <w:hideMark/>
          </w:tcPr>
          <w:p w14:paraId="7FB7D65B" w14:textId="77777777" w:rsidR="004B003E" w:rsidRPr="002A5C67" w:rsidRDefault="004B003E" w:rsidP="00D52997">
            <w:pPr>
              <w:jc w:val="center"/>
              <w:rPr>
                <w:color w:val="000000"/>
                <w:lang w:val="fr-CA" w:eastAsia="fr-CA"/>
              </w:rPr>
            </w:pPr>
            <w:r w:rsidRPr="002A5C67">
              <w:rPr>
                <w:color w:val="000000"/>
                <w:lang w:val="fr-CA" w:eastAsia="fr-CA"/>
              </w:rPr>
              <w:t xml:space="preserve">                    71 </w:t>
            </w:r>
          </w:p>
        </w:tc>
      </w:tr>
      <w:tr w:rsidR="004B003E" w:rsidRPr="002A5C67" w14:paraId="50B4AAD5" w14:textId="77777777" w:rsidTr="004B003E">
        <w:trPr>
          <w:trHeight w:val="276"/>
        </w:trPr>
        <w:tc>
          <w:tcPr>
            <w:tcW w:w="1069" w:type="dxa"/>
            <w:tcBorders>
              <w:top w:val="nil"/>
              <w:left w:val="single" w:sz="4" w:space="0" w:color="auto"/>
              <w:bottom w:val="single" w:sz="4" w:space="0" w:color="auto"/>
              <w:right w:val="single" w:sz="4" w:space="0" w:color="auto"/>
            </w:tcBorders>
            <w:vAlign w:val="center"/>
            <w:hideMark/>
          </w:tcPr>
          <w:p w14:paraId="13BB0889" w14:textId="77777777" w:rsidR="004B003E" w:rsidRPr="002A5C67" w:rsidRDefault="004B003E" w:rsidP="00D52997">
            <w:pPr>
              <w:jc w:val="center"/>
              <w:rPr>
                <w:color w:val="000000"/>
                <w:lang w:val="fr-CA" w:eastAsia="fr-CA"/>
              </w:rPr>
            </w:pPr>
            <w:r w:rsidRPr="002A5C67">
              <w:rPr>
                <w:color w:val="000000"/>
                <w:lang w:val="fr-CA" w:eastAsia="fr-CA"/>
              </w:rPr>
              <w:t> </w:t>
            </w:r>
          </w:p>
        </w:tc>
        <w:tc>
          <w:tcPr>
            <w:tcW w:w="8713" w:type="dxa"/>
            <w:gridSpan w:val="2"/>
            <w:tcBorders>
              <w:top w:val="nil"/>
              <w:left w:val="nil"/>
              <w:bottom w:val="single" w:sz="4" w:space="0" w:color="auto"/>
              <w:right w:val="single" w:sz="4" w:space="0" w:color="auto"/>
            </w:tcBorders>
            <w:noWrap/>
            <w:vAlign w:val="center"/>
            <w:hideMark/>
          </w:tcPr>
          <w:p w14:paraId="0943335C" w14:textId="77777777" w:rsidR="004B003E" w:rsidRPr="002A5C67" w:rsidRDefault="004B003E" w:rsidP="00D52997">
            <w:pPr>
              <w:rPr>
                <w:color w:val="000000"/>
                <w:lang w:val="fr-CA" w:eastAsia="fr-CA"/>
              </w:rPr>
            </w:pPr>
            <w:r w:rsidRPr="002A5C67">
              <w:rPr>
                <w:color w:val="000000"/>
                <w:lang w:val="fr-CA" w:eastAsia="fr-CA"/>
              </w:rPr>
              <w:t>E</w:t>
            </w:r>
            <w:r w:rsidRPr="002A5C67">
              <w:rPr>
                <w:b/>
                <w:bCs/>
                <w:color w:val="000000"/>
                <w:lang w:val="fr-CA" w:eastAsia="fr-CA"/>
              </w:rPr>
              <w:t>tudes techniques routières de 119 km des Routes Nationales</w:t>
            </w:r>
          </w:p>
        </w:tc>
        <w:tc>
          <w:tcPr>
            <w:tcW w:w="964" w:type="dxa"/>
            <w:tcBorders>
              <w:top w:val="nil"/>
              <w:left w:val="nil"/>
              <w:bottom w:val="single" w:sz="4" w:space="0" w:color="auto"/>
              <w:right w:val="single" w:sz="4" w:space="0" w:color="auto"/>
            </w:tcBorders>
            <w:noWrap/>
            <w:vAlign w:val="center"/>
            <w:hideMark/>
          </w:tcPr>
          <w:p w14:paraId="7215FDC0" w14:textId="77777777" w:rsidR="004B003E" w:rsidRPr="002A5C67" w:rsidRDefault="004B003E" w:rsidP="00D52997">
            <w:pPr>
              <w:rPr>
                <w:color w:val="000000"/>
                <w:lang w:val="fr-CA" w:eastAsia="fr-CA"/>
              </w:rPr>
            </w:pPr>
            <w:r w:rsidRPr="002A5C67">
              <w:rPr>
                <w:color w:val="000000"/>
                <w:lang w:val="fr-CA" w:eastAsia="fr-CA"/>
              </w:rPr>
              <w:t> </w:t>
            </w:r>
          </w:p>
        </w:tc>
      </w:tr>
      <w:tr w:rsidR="004B003E" w:rsidRPr="002A5C67" w14:paraId="14FCBD0C" w14:textId="77777777" w:rsidTr="004B003E">
        <w:trPr>
          <w:trHeight w:val="276"/>
        </w:trPr>
        <w:tc>
          <w:tcPr>
            <w:tcW w:w="1069" w:type="dxa"/>
            <w:tcBorders>
              <w:top w:val="nil"/>
              <w:left w:val="single" w:sz="4" w:space="0" w:color="auto"/>
              <w:bottom w:val="single" w:sz="4" w:space="0" w:color="auto"/>
              <w:right w:val="single" w:sz="4" w:space="0" w:color="auto"/>
            </w:tcBorders>
            <w:vAlign w:val="center"/>
            <w:hideMark/>
          </w:tcPr>
          <w:p w14:paraId="3E0A7F6D" w14:textId="77777777" w:rsidR="004B003E" w:rsidRPr="002A5C67" w:rsidRDefault="004B003E" w:rsidP="00D52997">
            <w:pPr>
              <w:jc w:val="center"/>
              <w:rPr>
                <w:color w:val="000000"/>
                <w:lang w:val="fr-CA" w:eastAsia="fr-CA"/>
              </w:rPr>
            </w:pPr>
            <w:r w:rsidRPr="002A5C67">
              <w:rPr>
                <w:color w:val="000000"/>
                <w:lang w:val="fr-CA" w:eastAsia="fr-CA"/>
              </w:rPr>
              <w:t> </w:t>
            </w:r>
          </w:p>
        </w:tc>
        <w:tc>
          <w:tcPr>
            <w:tcW w:w="4035" w:type="dxa"/>
            <w:vMerge w:val="restart"/>
            <w:tcBorders>
              <w:top w:val="nil"/>
              <w:left w:val="single" w:sz="4" w:space="0" w:color="auto"/>
              <w:bottom w:val="single" w:sz="4" w:space="0" w:color="000000"/>
              <w:right w:val="single" w:sz="4" w:space="0" w:color="auto"/>
            </w:tcBorders>
            <w:vAlign w:val="center"/>
            <w:hideMark/>
          </w:tcPr>
          <w:p w14:paraId="33C74E77" w14:textId="77777777" w:rsidR="004B003E" w:rsidRPr="002A5C67" w:rsidRDefault="004B003E" w:rsidP="00D52997">
            <w:pPr>
              <w:rPr>
                <w:color w:val="000000"/>
                <w:lang w:val="fr-CA" w:eastAsia="fr-CA"/>
              </w:rPr>
            </w:pPr>
            <w:r w:rsidRPr="002A5C67">
              <w:rPr>
                <w:color w:val="000000"/>
                <w:lang w:val="fr-CA" w:eastAsia="fr-CA"/>
              </w:rPr>
              <w:t>Zone 12</w:t>
            </w:r>
          </w:p>
        </w:tc>
        <w:tc>
          <w:tcPr>
            <w:tcW w:w="4678" w:type="dxa"/>
            <w:tcBorders>
              <w:top w:val="nil"/>
              <w:left w:val="nil"/>
              <w:bottom w:val="single" w:sz="4" w:space="0" w:color="auto"/>
              <w:right w:val="single" w:sz="4" w:space="0" w:color="auto"/>
            </w:tcBorders>
            <w:vAlign w:val="center"/>
            <w:hideMark/>
          </w:tcPr>
          <w:p w14:paraId="001A0B38" w14:textId="77777777" w:rsidR="004B003E" w:rsidRPr="002A5C67" w:rsidRDefault="004B003E" w:rsidP="00D52997">
            <w:pPr>
              <w:jc w:val="both"/>
              <w:rPr>
                <w:color w:val="000000"/>
                <w:lang w:val="fr-CA" w:eastAsia="fr-CA"/>
              </w:rPr>
            </w:pPr>
            <w:r w:rsidRPr="002A5C67">
              <w:rPr>
                <w:color w:val="000000"/>
                <w:lang w:val="fr-CA" w:eastAsia="fr-CA"/>
              </w:rPr>
              <w:t>Doko (Intersection RN6) - Niagassola - Frt Mali</w:t>
            </w:r>
          </w:p>
        </w:tc>
        <w:tc>
          <w:tcPr>
            <w:tcW w:w="964" w:type="dxa"/>
            <w:tcBorders>
              <w:top w:val="nil"/>
              <w:left w:val="nil"/>
              <w:bottom w:val="single" w:sz="4" w:space="0" w:color="auto"/>
              <w:right w:val="single" w:sz="4" w:space="0" w:color="auto"/>
            </w:tcBorders>
            <w:vAlign w:val="center"/>
            <w:hideMark/>
          </w:tcPr>
          <w:p w14:paraId="022D0A9C" w14:textId="77777777" w:rsidR="004B003E" w:rsidRPr="002A5C67" w:rsidRDefault="004B003E" w:rsidP="00D52997">
            <w:pPr>
              <w:jc w:val="center"/>
              <w:rPr>
                <w:color w:val="000000"/>
                <w:lang w:val="fr-CA" w:eastAsia="fr-CA"/>
              </w:rPr>
            </w:pPr>
            <w:r w:rsidRPr="002A5C67">
              <w:rPr>
                <w:color w:val="000000"/>
                <w:lang w:val="fr-CA" w:eastAsia="fr-CA"/>
              </w:rPr>
              <w:t xml:space="preserve">                    77 </w:t>
            </w:r>
          </w:p>
        </w:tc>
      </w:tr>
      <w:tr w:rsidR="004B003E" w:rsidRPr="002A5C67" w14:paraId="047E863A" w14:textId="77777777" w:rsidTr="004B003E">
        <w:trPr>
          <w:trHeight w:val="276"/>
        </w:trPr>
        <w:tc>
          <w:tcPr>
            <w:tcW w:w="1069" w:type="dxa"/>
            <w:tcBorders>
              <w:top w:val="nil"/>
              <w:left w:val="single" w:sz="4" w:space="0" w:color="auto"/>
              <w:bottom w:val="single" w:sz="4" w:space="0" w:color="auto"/>
              <w:right w:val="single" w:sz="4" w:space="0" w:color="auto"/>
            </w:tcBorders>
            <w:vAlign w:val="center"/>
            <w:hideMark/>
          </w:tcPr>
          <w:p w14:paraId="3EED23F4" w14:textId="77777777" w:rsidR="004B003E" w:rsidRPr="002A5C67" w:rsidRDefault="004B003E" w:rsidP="00D52997">
            <w:pPr>
              <w:jc w:val="center"/>
              <w:rPr>
                <w:color w:val="000000"/>
                <w:lang w:val="fr-CA" w:eastAsia="fr-CA"/>
              </w:rPr>
            </w:pPr>
            <w:r w:rsidRPr="002A5C67">
              <w:rPr>
                <w:color w:val="000000"/>
                <w:lang w:val="fr-CA" w:eastAsia="fr-CA"/>
              </w:rPr>
              <w:t>RN6</w:t>
            </w:r>
          </w:p>
        </w:tc>
        <w:tc>
          <w:tcPr>
            <w:tcW w:w="4035" w:type="dxa"/>
            <w:vMerge/>
            <w:tcBorders>
              <w:top w:val="nil"/>
              <w:left w:val="single" w:sz="4" w:space="0" w:color="auto"/>
              <w:bottom w:val="single" w:sz="4" w:space="0" w:color="000000"/>
              <w:right w:val="single" w:sz="4" w:space="0" w:color="auto"/>
            </w:tcBorders>
            <w:vAlign w:val="center"/>
            <w:hideMark/>
          </w:tcPr>
          <w:p w14:paraId="2A8920D8" w14:textId="77777777" w:rsidR="004B003E" w:rsidRPr="002A5C67" w:rsidRDefault="004B003E" w:rsidP="00D52997">
            <w:pPr>
              <w:rPr>
                <w:color w:val="000000"/>
                <w:lang w:val="fr-CA" w:eastAsia="fr-CA"/>
              </w:rPr>
            </w:pPr>
          </w:p>
        </w:tc>
        <w:tc>
          <w:tcPr>
            <w:tcW w:w="4678" w:type="dxa"/>
            <w:tcBorders>
              <w:top w:val="nil"/>
              <w:left w:val="nil"/>
              <w:bottom w:val="single" w:sz="4" w:space="0" w:color="auto"/>
              <w:right w:val="single" w:sz="4" w:space="0" w:color="auto"/>
            </w:tcBorders>
            <w:vAlign w:val="center"/>
            <w:hideMark/>
          </w:tcPr>
          <w:p w14:paraId="69BDCE7D" w14:textId="77777777" w:rsidR="004B003E" w:rsidRPr="002A5C67" w:rsidRDefault="004B003E" w:rsidP="00D52997">
            <w:pPr>
              <w:jc w:val="both"/>
              <w:rPr>
                <w:color w:val="000000"/>
                <w:lang w:val="fr-CA" w:eastAsia="fr-CA"/>
              </w:rPr>
            </w:pPr>
            <w:r w:rsidRPr="002A5C67">
              <w:rPr>
                <w:color w:val="000000"/>
                <w:lang w:val="fr-CA" w:eastAsia="fr-CA"/>
              </w:rPr>
              <w:t>Siguiri - Kouremale Frontière Mali en 2x2 voies CORRIDOR NORD</w:t>
            </w:r>
          </w:p>
        </w:tc>
        <w:tc>
          <w:tcPr>
            <w:tcW w:w="964" w:type="dxa"/>
            <w:tcBorders>
              <w:top w:val="nil"/>
              <w:left w:val="nil"/>
              <w:bottom w:val="single" w:sz="4" w:space="0" w:color="auto"/>
              <w:right w:val="single" w:sz="4" w:space="0" w:color="auto"/>
            </w:tcBorders>
            <w:vAlign w:val="center"/>
            <w:hideMark/>
          </w:tcPr>
          <w:p w14:paraId="31A79150" w14:textId="77777777" w:rsidR="004B003E" w:rsidRPr="002A5C67" w:rsidRDefault="004B003E" w:rsidP="00D52997">
            <w:pPr>
              <w:jc w:val="center"/>
              <w:rPr>
                <w:color w:val="000000"/>
                <w:lang w:val="fr-CA" w:eastAsia="fr-CA"/>
              </w:rPr>
            </w:pPr>
            <w:r w:rsidRPr="002A5C67">
              <w:rPr>
                <w:color w:val="000000"/>
                <w:lang w:val="fr-CA" w:eastAsia="fr-CA"/>
              </w:rPr>
              <w:t xml:space="preserve">                    42 </w:t>
            </w:r>
          </w:p>
        </w:tc>
      </w:tr>
      <w:tr w:rsidR="004B003E" w:rsidRPr="002A5C67" w14:paraId="01BDCFF7" w14:textId="77777777" w:rsidTr="004B003E">
        <w:trPr>
          <w:trHeight w:val="96"/>
        </w:trPr>
        <w:tc>
          <w:tcPr>
            <w:tcW w:w="1069" w:type="dxa"/>
            <w:tcBorders>
              <w:top w:val="nil"/>
              <w:left w:val="nil"/>
              <w:bottom w:val="nil"/>
              <w:right w:val="nil"/>
            </w:tcBorders>
            <w:noWrap/>
            <w:vAlign w:val="bottom"/>
            <w:hideMark/>
          </w:tcPr>
          <w:p w14:paraId="04F02296" w14:textId="77777777" w:rsidR="004B003E" w:rsidRPr="002A5C67" w:rsidRDefault="004B003E" w:rsidP="00D52997">
            <w:pPr>
              <w:jc w:val="center"/>
              <w:rPr>
                <w:color w:val="000000"/>
                <w:lang w:val="fr-CA" w:eastAsia="fr-CA"/>
              </w:rPr>
            </w:pPr>
          </w:p>
        </w:tc>
        <w:tc>
          <w:tcPr>
            <w:tcW w:w="4035" w:type="dxa"/>
            <w:tcBorders>
              <w:top w:val="nil"/>
              <w:left w:val="nil"/>
              <w:bottom w:val="nil"/>
              <w:right w:val="nil"/>
            </w:tcBorders>
            <w:noWrap/>
            <w:vAlign w:val="bottom"/>
            <w:hideMark/>
          </w:tcPr>
          <w:p w14:paraId="0B6B7ADC" w14:textId="77777777" w:rsidR="004B003E" w:rsidRPr="002A5C67" w:rsidRDefault="004B003E" w:rsidP="00D52997">
            <w:pPr>
              <w:rPr>
                <w:lang w:val="fr-CA" w:eastAsia="fr-CA"/>
              </w:rPr>
            </w:pPr>
          </w:p>
        </w:tc>
        <w:tc>
          <w:tcPr>
            <w:tcW w:w="4678" w:type="dxa"/>
            <w:tcBorders>
              <w:top w:val="nil"/>
              <w:left w:val="nil"/>
              <w:bottom w:val="nil"/>
              <w:right w:val="nil"/>
            </w:tcBorders>
            <w:vAlign w:val="bottom"/>
            <w:hideMark/>
          </w:tcPr>
          <w:p w14:paraId="3554FD66" w14:textId="77777777" w:rsidR="004B003E" w:rsidRPr="002A5C67" w:rsidRDefault="004B003E" w:rsidP="00D52997">
            <w:pPr>
              <w:rPr>
                <w:lang w:val="fr-CA" w:eastAsia="fr-CA"/>
              </w:rPr>
            </w:pPr>
          </w:p>
        </w:tc>
        <w:tc>
          <w:tcPr>
            <w:tcW w:w="964" w:type="dxa"/>
            <w:tcBorders>
              <w:top w:val="nil"/>
              <w:left w:val="nil"/>
              <w:bottom w:val="nil"/>
              <w:right w:val="nil"/>
            </w:tcBorders>
            <w:noWrap/>
            <w:vAlign w:val="bottom"/>
            <w:hideMark/>
          </w:tcPr>
          <w:p w14:paraId="188A03BB" w14:textId="77777777" w:rsidR="004B003E" w:rsidRPr="002A5C67" w:rsidRDefault="004B003E" w:rsidP="00D52997">
            <w:pPr>
              <w:rPr>
                <w:lang w:val="fr-CA" w:eastAsia="fr-CA"/>
              </w:rPr>
            </w:pPr>
          </w:p>
        </w:tc>
      </w:tr>
      <w:tr w:rsidR="004B003E" w:rsidRPr="002A5C67" w14:paraId="3B8C6D35" w14:textId="77777777" w:rsidTr="004B003E">
        <w:trPr>
          <w:trHeight w:val="288"/>
        </w:trPr>
        <w:tc>
          <w:tcPr>
            <w:tcW w:w="1069" w:type="dxa"/>
            <w:tcBorders>
              <w:top w:val="nil"/>
              <w:left w:val="nil"/>
              <w:bottom w:val="nil"/>
              <w:right w:val="nil"/>
            </w:tcBorders>
            <w:noWrap/>
            <w:vAlign w:val="bottom"/>
            <w:hideMark/>
          </w:tcPr>
          <w:p w14:paraId="69DFDE97" w14:textId="77777777" w:rsidR="004B003E" w:rsidRPr="002A5C67" w:rsidRDefault="004B003E" w:rsidP="00D52997">
            <w:pPr>
              <w:rPr>
                <w:lang w:val="fr-CA" w:eastAsia="fr-CA"/>
              </w:rPr>
            </w:pPr>
          </w:p>
        </w:tc>
        <w:tc>
          <w:tcPr>
            <w:tcW w:w="4035" w:type="dxa"/>
            <w:tcBorders>
              <w:top w:val="nil"/>
              <w:left w:val="nil"/>
              <w:bottom w:val="nil"/>
              <w:right w:val="nil"/>
            </w:tcBorders>
            <w:noWrap/>
            <w:vAlign w:val="bottom"/>
            <w:hideMark/>
          </w:tcPr>
          <w:p w14:paraId="4C6B38F9" w14:textId="77777777" w:rsidR="004B003E" w:rsidRPr="002A5C67" w:rsidRDefault="004B003E" w:rsidP="00D52997">
            <w:pPr>
              <w:rPr>
                <w:lang w:val="fr-CA" w:eastAsia="fr-CA"/>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8758B70" w14:textId="77777777" w:rsidR="004B003E" w:rsidRPr="002A5C67" w:rsidRDefault="004B003E" w:rsidP="00D52997">
            <w:pPr>
              <w:jc w:val="center"/>
              <w:rPr>
                <w:b/>
                <w:bCs/>
                <w:color w:val="000000"/>
                <w:lang w:val="fr-CA" w:eastAsia="fr-CA"/>
              </w:rPr>
            </w:pPr>
            <w:r w:rsidRPr="002A5C67">
              <w:rPr>
                <w:b/>
                <w:bCs/>
                <w:color w:val="000000"/>
                <w:lang w:val="fr-CA" w:eastAsia="fr-CA"/>
              </w:rPr>
              <w:t>TOTAL LINEAIRE en Km</w:t>
            </w:r>
          </w:p>
        </w:tc>
        <w:tc>
          <w:tcPr>
            <w:tcW w:w="964" w:type="dxa"/>
            <w:tcBorders>
              <w:top w:val="single" w:sz="4" w:space="0" w:color="auto"/>
              <w:left w:val="nil"/>
              <w:bottom w:val="single" w:sz="4" w:space="0" w:color="auto"/>
              <w:right w:val="single" w:sz="4" w:space="0" w:color="auto"/>
            </w:tcBorders>
            <w:vAlign w:val="center"/>
            <w:hideMark/>
          </w:tcPr>
          <w:p w14:paraId="60731F80" w14:textId="77777777" w:rsidR="004B003E" w:rsidRPr="002A5C67" w:rsidRDefault="004B003E" w:rsidP="00D52997">
            <w:pPr>
              <w:jc w:val="center"/>
              <w:rPr>
                <w:b/>
                <w:bCs/>
                <w:color w:val="000000"/>
                <w:lang w:val="fr-CA" w:eastAsia="fr-CA"/>
              </w:rPr>
            </w:pPr>
            <w:r w:rsidRPr="002A5C67">
              <w:rPr>
                <w:b/>
                <w:bCs/>
                <w:color w:val="000000"/>
                <w:lang w:val="fr-CA" w:eastAsia="fr-CA"/>
              </w:rPr>
              <w:t xml:space="preserve">                2 268 </w:t>
            </w:r>
          </w:p>
        </w:tc>
      </w:tr>
    </w:tbl>
    <w:p w14:paraId="495C3AF3" w14:textId="77777777" w:rsidR="009F0D1D" w:rsidRPr="009F0D1D" w:rsidRDefault="009F0D1D" w:rsidP="009F0D1D">
      <w:pPr>
        <w:ind w:right="284"/>
        <w:jc w:val="both"/>
        <w:rPr>
          <w:rFonts w:eastAsia="Century Gothic"/>
          <w:sz w:val="24"/>
          <w:szCs w:val="24"/>
        </w:rPr>
      </w:pPr>
    </w:p>
    <w:p w14:paraId="724E4FBF" w14:textId="77777777" w:rsidR="009F0D1D" w:rsidRPr="009F0D1D" w:rsidRDefault="009F0D1D" w:rsidP="009F0D1D">
      <w:pPr>
        <w:ind w:right="284"/>
        <w:jc w:val="both"/>
        <w:rPr>
          <w:b/>
          <w:bCs/>
          <w:color w:val="000000"/>
          <w:sz w:val="24"/>
          <w:szCs w:val="24"/>
          <w:lang w:eastAsia="fr-FR"/>
        </w:rPr>
      </w:pPr>
      <w:r w:rsidRPr="009F0D1D">
        <w:rPr>
          <w:rFonts w:eastAsia="Century Gothic"/>
          <w:sz w:val="24"/>
          <w:szCs w:val="24"/>
        </w:rPr>
        <w:t>*</w:t>
      </w:r>
      <w:r w:rsidRPr="009F0D1D">
        <w:rPr>
          <w:b/>
          <w:bCs/>
          <w:color w:val="000000"/>
          <w:sz w:val="24"/>
          <w:szCs w:val="24"/>
          <w:lang w:eastAsia="fr-FR"/>
        </w:rPr>
        <w:t>VSA</w:t>
      </w:r>
      <w:r w:rsidRPr="009F0D1D">
        <w:rPr>
          <w:rFonts w:eastAsia="Century Gothic"/>
          <w:sz w:val="24"/>
          <w:szCs w:val="24"/>
        </w:rPr>
        <w:t> : Voies Structurantes d'Agglomération avec aménagements urbains y compris les VRD</w:t>
      </w:r>
    </w:p>
    <w:p w14:paraId="41563990" w14:textId="77777777" w:rsidR="009F0D1D" w:rsidRPr="009F0D1D" w:rsidRDefault="009F0D1D" w:rsidP="009F0D1D">
      <w:pPr>
        <w:ind w:right="284"/>
        <w:jc w:val="both"/>
        <w:rPr>
          <w:b/>
          <w:bCs/>
          <w:color w:val="000000"/>
          <w:sz w:val="24"/>
          <w:szCs w:val="24"/>
          <w:lang w:eastAsia="fr-FR"/>
        </w:rPr>
      </w:pPr>
      <w:r w:rsidRPr="009F0D1D">
        <w:rPr>
          <w:rFonts w:eastAsia="Century Gothic"/>
          <w:sz w:val="24"/>
          <w:szCs w:val="24"/>
        </w:rPr>
        <w:t>*</w:t>
      </w:r>
      <w:r w:rsidRPr="009F0D1D">
        <w:rPr>
          <w:b/>
          <w:bCs/>
          <w:color w:val="000000"/>
          <w:sz w:val="24"/>
          <w:szCs w:val="24"/>
          <w:lang w:eastAsia="fr-FR"/>
        </w:rPr>
        <w:t xml:space="preserve">VU : </w:t>
      </w:r>
      <w:r w:rsidRPr="009F0D1D">
        <w:rPr>
          <w:rFonts w:eastAsia="Century Gothic"/>
          <w:sz w:val="24"/>
          <w:szCs w:val="24"/>
        </w:rPr>
        <w:t>Voirie Urbaine</w:t>
      </w:r>
      <w:r w:rsidRPr="009F0D1D" w:rsidDel="000760F0">
        <w:rPr>
          <w:b/>
          <w:bCs/>
          <w:color w:val="000000"/>
          <w:sz w:val="24"/>
          <w:szCs w:val="24"/>
          <w:lang w:eastAsia="fr-FR"/>
        </w:rPr>
        <w:t xml:space="preserve"> </w:t>
      </w:r>
      <w:r w:rsidRPr="009F0D1D">
        <w:rPr>
          <w:b/>
          <w:bCs/>
          <w:color w:val="000000"/>
          <w:sz w:val="24"/>
          <w:szCs w:val="24"/>
          <w:lang w:eastAsia="fr-FR"/>
        </w:rPr>
        <w:t>avec les aménagements urbains y compris les VRD</w:t>
      </w:r>
    </w:p>
    <w:p w14:paraId="23EB27CD" w14:textId="77777777" w:rsidR="009F0D1D" w:rsidRPr="009F0D1D" w:rsidRDefault="009F0D1D" w:rsidP="009F0D1D">
      <w:pPr>
        <w:ind w:right="284"/>
        <w:jc w:val="both"/>
        <w:rPr>
          <w:rFonts w:eastAsia="Century Gothic"/>
          <w:sz w:val="24"/>
          <w:szCs w:val="24"/>
        </w:rPr>
      </w:pPr>
      <w:r w:rsidRPr="009F0D1D">
        <w:rPr>
          <w:b/>
          <w:bCs/>
          <w:color w:val="000000"/>
          <w:sz w:val="24"/>
          <w:szCs w:val="24"/>
          <w:lang w:eastAsia="fr-FR"/>
        </w:rPr>
        <w:t>*</w:t>
      </w:r>
      <w:r w:rsidRPr="009F0D1D">
        <w:rPr>
          <w:color w:val="000000"/>
          <w:sz w:val="24"/>
          <w:szCs w:val="24"/>
          <w:lang w:eastAsia="fr-FR"/>
        </w:rPr>
        <w:t xml:space="preserve"> </w:t>
      </w:r>
      <w:r w:rsidRPr="009F0D1D">
        <w:rPr>
          <w:b/>
          <w:bCs/>
          <w:color w:val="000000"/>
          <w:sz w:val="24"/>
          <w:szCs w:val="24"/>
          <w:lang w:eastAsia="fr-FR"/>
        </w:rPr>
        <w:t>RN30 :</w:t>
      </w:r>
      <w:r w:rsidRPr="009F0D1D">
        <w:rPr>
          <w:color w:val="000000"/>
          <w:sz w:val="24"/>
          <w:szCs w:val="24"/>
          <w:lang w:eastAsia="fr-FR"/>
        </w:rPr>
        <w:t xml:space="preserve"> Route Nationale N°30</w:t>
      </w:r>
    </w:p>
    <w:p w14:paraId="478F405D" w14:textId="77777777" w:rsidR="004018DF" w:rsidRDefault="004018DF" w:rsidP="009F0D1D">
      <w:pPr>
        <w:spacing w:line="276" w:lineRule="auto"/>
        <w:ind w:right="285"/>
        <w:jc w:val="both"/>
        <w:rPr>
          <w:rFonts w:eastAsia="Century Gothic"/>
          <w:b/>
          <w:bCs/>
          <w:sz w:val="24"/>
          <w:szCs w:val="24"/>
        </w:rPr>
      </w:pPr>
    </w:p>
    <w:p w14:paraId="57ABB228" w14:textId="77777777" w:rsidR="004018DF" w:rsidRDefault="004018DF" w:rsidP="009F0D1D">
      <w:pPr>
        <w:spacing w:line="276" w:lineRule="auto"/>
        <w:ind w:right="285"/>
        <w:jc w:val="both"/>
        <w:rPr>
          <w:rFonts w:eastAsia="Century Gothic"/>
          <w:b/>
          <w:bCs/>
          <w:sz w:val="24"/>
          <w:szCs w:val="24"/>
        </w:rPr>
      </w:pPr>
    </w:p>
    <w:p w14:paraId="0F6298D3" w14:textId="323FE11C" w:rsidR="009F0D1D" w:rsidRPr="009F0D1D" w:rsidRDefault="009F0D1D" w:rsidP="009F0D1D">
      <w:pPr>
        <w:spacing w:line="276" w:lineRule="auto"/>
        <w:ind w:right="285"/>
        <w:jc w:val="both"/>
        <w:rPr>
          <w:rFonts w:eastAsia="Century Gothic"/>
          <w:b/>
          <w:bCs/>
          <w:sz w:val="24"/>
          <w:szCs w:val="24"/>
        </w:rPr>
      </w:pPr>
      <w:r w:rsidRPr="009F0D1D">
        <w:rPr>
          <w:rFonts w:eastAsia="Century Gothic"/>
          <w:b/>
          <w:bCs/>
          <w:sz w:val="24"/>
          <w:szCs w:val="24"/>
        </w:rPr>
        <w:t>NB : Pour chacun des lots, le consultant s’accordera avec l’Organe d’exécution lors de la réalisation des études, sur le découpage à retenir en fonction des futurs allotissements des travaux. Ce découpage déterminera également le nombre total de rapports à produire pour chaque zone.</w:t>
      </w:r>
    </w:p>
    <w:bookmarkEnd w:id="3"/>
    <w:bookmarkEnd w:id="4"/>
    <w:p w14:paraId="1D3BE605" w14:textId="77777777" w:rsidR="009F0D1D" w:rsidRPr="009F0D1D" w:rsidRDefault="009F0D1D" w:rsidP="009F0D1D">
      <w:pPr>
        <w:pStyle w:val="Paragraphedeliste"/>
        <w:numPr>
          <w:ilvl w:val="0"/>
          <w:numId w:val="9"/>
        </w:numPr>
        <w:spacing w:before="120" w:line="276" w:lineRule="auto"/>
        <w:jc w:val="both"/>
        <w:textAlignment w:val="baseline"/>
        <w:rPr>
          <w:color w:val="000000"/>
        </w:rPr>
      </w:pPr>
      <w:r w:rsidRPr="009F0D1D">
        <w:rPr>
          <w:color w:val="000000"/>
        </w:rPr>
        <w:t xml:space="preserve">Les études envisagées visent des études techniques routières de 2 268 km au niveau des quatre régions naturelles de la Guinée </w:t>
      </w:r>
    </w:p>
    <w:p w14:paraId="2441E9BB" w14:textId="42524EB2" w:rsidR="00832E2F" w:rsidRPr="009F0D1D" w:rsidRDefault="00FC37A4" w:rsidP="009F0D1D">
      <w:pPr>
        <w:pStyle w:val="Default"/>
        <w:ind w:left="720"/>
        <w:jc w:val="both"/>
        <w:rPr>
          <w:rFonts w:ascii="Times New Roman" w:hAnsi="Times New Roman" w:cs="Times New Roman"/>
        </w:rPr>
      </w:pPr>
      <w:r w:rsidRPr="009F0D1D">
        <w:rPr>
          <w:rFonts w:ascii="Times New Roman" w:hAnsi="Times New Roman" w:cs="Times New Roman"/>
        </w:rPr>
        <w:t xml:space="preserve">Plus spécifiquement, il s’agira </w:t>
      </w:r>
      <w:r w:rsidR="004307C8" w:rsidRPr="009F0D1D">
        <w:rPr>
          <w:rFonts w:ascii="Times New Roman" w:hAnsi="Times New Roman" w:cs="Times New Roman"/>
        </w:rPr>
        <w:t xml:space="preserve">pour chacun des lots </w:t>
      </w:r>
      <w:r w:rsidRPr="009F0D1D">
        <w:rPr>
          <w:rFonts w:ascii="Times New Roman" w:hAnsi="Times New Roman" w:cs="Times New Roman"/>
        </w:rPr>
        <w:t xml:space="preserve">de </w:t>
      </w:r>
      <w:r w:rsidR="00832E2F" w:rsidRPr="009F0D1D">
        <w:rPr>
          <w:rFonts w:ascii="Times New Roman" w:hAnsi="Times New Roman" w:cs="Times New Roman"/>
        </w:rPr>
        <w:t xml:space="preserve">la réalisation des </w:t>
      </w:r>
      <w:r w:rsidRPr="009F0D1D">
        <w:rPr>
          <w:rFonts w:ascii="Times New Roman" w:hAnsi="Times New Roman" w:cs="Times New Roman"/>
        </w:rPr>
        <w:t xml:space="preserve">missions </w:t>
      </w:r>
      <w:r w:rsidR="00832E2F" w:rsidRPr="009F0D1D">
        <w:rPr>
          <w:rFonts w:ascii="Times New Roman" w:hAnsi="Times New Roman" w:cs="Times New Roman"/>
        </w:rPr>
        <w:t xml:space="preserve">suivantes : </w:t>
      </w:r>
    </w:p>
    <w:p w14:paraId="529914E3" w14:textId="0683784A" w:rsidR="009F0D1D" w:rsidRPr="009F0D1D" w:rsidRDefault="009F0D1D" w:rsidP="009F0D1D">
      <w:pPr>
        <w:pStyle w:val="Default"/>
        <w:numPr>
          <w:ilvl w:val="0"/>
          <w:numId w:val="2"/>
        </w:numPr>
        <w:jc w:val="both"/>
        <w:rPr>
          <w:rFonts w:ascii="Times New Roman" w:hAnsi="Times New Roman" w:cs="Times New Roman"/>
        </w:rPr>
      </w:pPr>
      <w:r w:rsidRPr="009F0D1D">
        <w:rPr>
          <w:rFonts w:ascii="Times New Roman" w:hAnsi="Times New Roman" w:cs="Times New Roman"/>
        </w:rPr>
        <w:t>Les études Avant-projet Sommaire (APS) ;</w:t>
      </w:r>
    </w:p>
    <w:p w14:paraId="55C32C32" w14:textId="77777777" w:rsidR="009F0D1D" w:rsidRPr="009F0D1D" w:rsidRDefault="009F0D1D" w:rsidP="009F0D1D">
      <w:pPr>
        <w:pStyle w:val="Default"/>
        <w:numPr>
          <w:ilvl w:val="0"/>
          <w:numId w:val="2"/>
        </w:numPr>
        <w:jc w:val="both"/>
        <w:rPr>
          <w:rFonts w:ascii="Times New Roman" w:hAnsi="Times New Roman" w:cs="Times New Roman"/>
        </w:rPr>
      </w:pPr>
      <w:r w:rsidRPr="009F0D1D">
        <w:rPr>
          <w:rFonts w:ascii="Times New Roman" w:hAnsi="Times New Roman" w:cs="Times New Roman"/>
        </w:rPr>
        <w:lastRenderedPageBreak/>
        <w:t>Les études avant-projet détaillé (APD) ;</w:t>
      </w:r>
    </w:p>
    <w:p w14:paraId="3B834AF0" w14:textId="77777777" w:rsidR="009F0D1D" w:rsidRPr="009F0D1D" w:rsidRDefault="009F0D1D" w:rsidP="009F0D1D">
      <w:pPr>
        <w:pStyle w:val="Default"/>
        <w:numPr>
          <w:ilvl w:val="0"/>
          <w:numId w:val="2"/>
        </w:numPr>
        <w:jc w:val="both"/>
        <w:rPr>
          <w:rFonts w:ascii="Times New Roman" w:hAnsi="Times New Roman" w:cs="Times New Roman"/>
        </w:rPr>
      </w:pPr>
      <w:r w:rsidRPr="009F0D1D">
        <w:rPr>
          <w:rFonts w:ascii="Times New Roman" w:hAnsi="Times New Roman" w:cs="Times New Roman"/>
        </w:rPr>
        <w:t>Les études de sauvegarde environnementale et sociale</w:t>
      </w:r>
    </w:p>
    <w:p w14:paraId="36DEABAF" w14:textId="77777777" w:rsidR="009F0D1D" w:rsidRPr="009F0D1D" w:rsidRDefault="009F0D1D" w:rsidP="009F0D1D">
      <w:pPr>
        <w:pStyle w:val="Default"/>
        <w:numPr>
          <w:ilvl w:val="0"/>
          <w:numId w:val="2"/>
        </w:numPr>
        <w:jc w:val="both"/>
        <w:rPr>
          <w:rFonts w:ascii="Times New Roman" w:hAnsi="Times New Roman" w:cs="Times New Roman"/>
        </w:rPr>
      </w:pPr>
      <w:r w:rsidRPr="009F0D1D">
        <w:rPr>
          <w:rFonts w:ascii="Times New Roman" w:hAnsi="Times New Roman" w:cs="Times New Roman"/>
        </w:rPr>
        <w:t>Les études économiques</w:t>
      </w:r>
    </w:p>
    <w:p w14:paraId="567868B2" w14:textId="176D31E4" w:rsidR="009F0D1D" w:rsidRPr="009F0D1D" w:rsidRDefault="009F0D1D" w:rsidP="009F0D1D">
      <w:pPr>
        <w:pStyle w:val="Default"/>
        <w:numPr>
          <w:ilvl w:val="0"/>
          <w:numId w:val="2"/>
        </w:numPr>
        <w:jc w:val="both"/>
        <w:rPr>
          <w:rFonts w:ascii="Times New Roman" w:hAnsi="Times New Roman" w:cs="Times New Roman"/>
        </w:rPr>
      </w:pPr>
      <w:r w:rsidRPr="009F0D1D">
        <w:rPr>
          <w:rFonts w:ascii="Times New Roman" w:hAnsi="Times New Roman" w:cs="Times New Roman"/>
        </w:rPr>
        <w:t>L’élaboration des dossiers d’appel d’offres (DAO).</w:t>
      </w:r>
    </w:p>
    <w:p w14:paraId="48546AC6" w14:textId="77777777" w:rsidR="009F0D1D" w:rsidRPr="009F0D1D" w:rsidRDefault="009F0D1D" w:rsidP="009F0D1D">
      <w:pPr>
        <w:pStyle w:val="Default"/>
        <w:ind w:left="720"/>
        <w:jc w:val="both"/>
        <w:rPr>
          <w:rFonts w:ascii="Times New Roman" w:hAnsi="Times New Roman" w:cs="Times New Roman"/>
        </w:rPr>
      </w:pPr>
    </w:p>
    <w:p w14:paraId="266941CC" w14:textId="7506C119" w:rsidR="00D10EF0" w:rsidRPr="009F0D1D" w:rsidRDefault="00B56E22" w:rsidP="00E05C14">
      <w:pPr>
        <w:pStyle w:val="Default"/>
        <w:numPr>
          <w:ilvl w:val="0"/>
          <w:numId w:val="9"/>
        </w:numPr>
        <w:jc w:val="both"/>
        <w:rPr>
          <w:rFonts w:ascii="Times New Roman" w:hAnsi="Times New Roman" w:cs="Times New Roman"/>
        </w:rPr>
      </w:pPr>
      <w:r w:rsidRPr="009F0D1D">
        <w:rPr>
          <w:rFonts w:ascii="Times New Roman" w:hAnsi="Times New Roman" w:cs="Times New Roman"/>
        </w:rPr>
        <w:t xml:space="preserve">La durée de la mission est de </w:t>
      </w:r>
      <w:r w:rsidR="00A2038A" w:rsidRPr="009F0D1D">
        <w:rPr>
          <w:rFonts w:ascii="Times New Roman" w:hAnsi="Times New Roman" w:cs="Times New Roman"/>
        </w:rPr>
        <w:t>douze (12)</w:t>
      </w:r>
      <w:r w:rsidRPr="009F0D1D">
        <w:rPr>
          <w:rFonts w:ascii="Times New Roman" w:hAnsi="Times New Roman" w:cs="Times New Roman"/>
        </w:rPr>
        <w:t xml:space="preserve"> mois</w:t>
      </w:r>
      <w:r w:rsidR="00A36A8A" w:rsidRPr="009F0D1D">
        <w:rPr>
          <w:rFonts w:ascii="Times New Roman" w:hAnsi="Times New Roman" w:cs="Times New Roman"/>
        </w:rPr>
        <w:t xml:space="preserve"> pour chacun des lots,</w:t>
      </w:r>
      <w:r w:rsidRPr="009F0D1D">
        <w:rPr>
          <w:rFonts w:ascii="Times New Roman" w:hAnsi="Times New Roman" w:cs="Times New Roman"/>
        </w:rPr>
        <w:t xml:space="preserve"> à compter de la date de signature du contrat</w:t>
      </w:r>
      <w:r w:rsidR="00A00F77" w:rsidRPr="009F0D1D">
        <w:rPr>
          <w:rFonts w:ascii="Times New Roman" w:hAnsi="Times New Roman" w:cs="Times New Roman"/>
        </w:rPr>
        <w:t xml:space="preserve"> </w:t>
      </w:r>
      <w:r w:rsidR="00DF7FF6" w:rsidRPr="009F0D1D">
        <w:rPr>
          <w:rFonts w:ascii="Times New Roman" w:hAnsi="Times New Roman" w:cs="Times New Roman"/>
        </w:rPr>
        <w:t xml:space="preserve">les études </w:t>
      </w:r>
      <w:r w:rsidR="00A00F77" w:rsidRPr="009F0D1D">
        <w:rPr>
          <w:rFonts w:ascii="Times New Roman" w:hAnsi="Times New Roman" w:cs="Times New Roman"/>
        </w:rPr>
        <w:t>se feront</w:t>
      </w:r>
      <w:r w:rsidR="000177CF" w:rsidRPr="009F0D1D">
        <w:rPr>
          <w:rFonts w:ascii="Times New Roman" w:hAnsi="Times New Roman" w:cs="Times New Roman"/>
        </w:rPr>
        <w:t xml:space="preserve"> </w:t>
      </w:r>
      <w:r w:rsidR="00DF7FF6" w:rsidRPr="009F0D1D">
        <w:rPr>
          <w:rFonts w:ascii="Times New Roman" w:hAnsi="Times New Roman" w:cs="Times New Roman"/>
        </w:rPr>
        <w:t>simultanément</w:t>
      </w:r>
      <w:r w:rsidRPr="009F0D1D">
        <w:rPr>
          <w:rFonts w:ascii="Times New Roman" w:hAnsi="Times New Roman" w:cs="Times New Roman"/>
        </w:rPr>
        <w:t xml:space="preserve"> </w:t>
      </w:r>
      <w:r w:rsidR="00900581" w:rsidRPr="009F0D1D">
        <w:rPr>
          <w:rFonts w:ascii="Times New Roman" w:hAnsi="Times New Roman" w:cs="Times New Roman"/>
        </w:rPr>
        <w:t xml:space="preserve">pour tous les </w:t>
      </w:r>
      <w:r w:rsidR="00A10B0D" w:rsidRPr="009F0D1D">
        <w:rPr>
          <w:rFonts w:ascii="Times New Roman" w:hAnsi="Times New Roman" w:cs="Times New Roman"/>
        </w:rPr>
        <w:t>lots.</w:t>
      </w:r>
    </w:p>
    <w:p w14:paraId="7699D516" w14:textId="77777777" w:rsidR="007848AD" w:rsidRPr="007848AD" w:rsidRDefault="007848AD" w:rsidP="007848AD">
      <w:pPr>
        <w:pStyle w:val="Default"/>
        <w:spacing w:after="240"/>
        <w:ind w:left="720" w:right="827"/>
        <w:jc w:val="both"/>
        <w:rPr>
          <w:rFonts w:ascii="Times New Roman" w:hAnsi="Times New Roman" w:cs="Times New Roman"/>
          <w:sz w:val="2"/>
          <w:szCs w:val="2"/>
        </w:rPr>
      </w:pPr>
    </w:p>
    <w:p w14:paraId="401AF3B2" w14:textId="56D5B0C6" w:rsidR="00D10EF0" w:rsidRPr="009F0D1D" w:rsidRDefault="00D10EF0" w:rsidP="007848AD">
      <w:pPr>
        <w:pStyle w:val="Default"/>
        <w:spacing w:after="240"/>
        <w:ind w:left="720" w:right="827"/>
        <w:jc w:val="both"/>
        <w:rPr>
          <w:rFonts w:ascii="Times New Roman" w:hAnsi="Times New Roman" w:cs="Times New Roman"/>
        </w:rPr>
      </w:pPr>
      <w:r w:rsidRPr="009F0D1D">
        <w:rPr>
          <w:rFonts w:ascii="Times New Roman" w:hAnsi="Times New Roman" w:cs="Times New Roman"/>
        </w:rPr>
        <w:t xml:space="preserve">Les termes de références </w:t>
      </w:r>
      <w:r w:rsidR="00240A3B" w:rsidRPr="009F0D1D">
        <w:rPr>
          <w:rFonts w:ascii="Times New Roman" w:hAnsi="Times New Roman" w:cs="Times New Roman"/>
        </w:rPr>
        <w:t xml:space="preserve">détaillés </w:t>
      </w:r>
      <w:r w:rsidRPr="009F0D1D">
        <w:rPr>
          <w:rFonts w:ascii="Times New Roman" w:hAnsi="Times New Roman" w:cs="Times New Roman"/>
        </w:rPr>
        <w:t>de la mission peuvent être téléchargés à travers le lien :</w:t>
      </w:r>
      <w:r w:rsidR="00B359C2" w:rsidRPr="00B359C2">
        <w:rPr>
          <w:rFonts w:ascii="Times New Roman" w:eastAsia="Times New Roman" w:hAnsi="Times New Roman" w:cs="Times New Roman"/>
          <w:color w:val="auto"/>
          <w:sz w:val="20"/>
          <w:szCs w:val="20"/>
        </w:rPr>
        <w:t xml:space="preserve"> </w:t>
      </w:r>
      <w:hyperlink r:id="rId9" w:history="1">
        <w:r w:rsidR="00B359C2" w:rsidRPr="00B359C2">
          <w:rPr>
            <w:rStyle w:val="Lienhypertexte"/>
            <w:rFonts w:ascii="Times New Roman" w:hAnsi="Times New Roman" w:cs="Times New Roman"/>
          </w:rPr>
          <w:t>https://docs.google.com/document/d/1iiGOG3TQ4MTWeeMvu1crcbsLf8ccxaQp/edit?usp=sharing&amp;ouid=114878397458404928356&amp;rtpof=true&amp;sd=true</w:t>
        </w:r>
      </w:hyperlink>
    </w:p>
    <w:p w14:paraId="6503D704" w14:textId="69ABD152" w:rsidR="00D10EF0" w:rsidRPr="009F0D1D" w:rsidRDefault="00B56E22" w:rsidP="007848AD">
      <w:pPr>
        <w:pStyle w:val="Default"/>
        <w:numPr>
          <w:ilvl w:val="0"/>
          <w:numId w:val="9"/>
        </w:numPr>
        <w:jc w:val="both"/>
        <w:rPr>
          <w:rFonts w:ascii="Times New Roman" w:hAnsi="Times New Roman" w:cs="Times New Roman"/>
        </w:rPr>
      </w:pPr>
      <w:r w:rsidRPr="007848AD">
        <w:rPr>
          <w:rFonts w:ascii="Times New Roman" w:eastAsia="Times New Roman" w:hAnsi="Times New Roman" w:cs="Times New Roman"/>
          <w:color w:val="auto"/>
          <w:spacing w:val="-2"/>
        </w:rPr>
        <w:t xml:space="preserve">Le Ministère des Infrastructures à travers l’Unité de Gestion des Projets Transports (UGP-BAD) invite les Consultants (firmes) à présenter leur candidature en vue de fournir les prestations décrites ci-dessus. Les </w:t>
      </w:r>
      <w:r w:rsidR="00262C30" w:rsidRPr="007848AD">
        <w:rPr>
          <w:rFonts w:ascii="Times New Roman" w:eastAsia="Times New Roman" w:hAnsi="Times New Roman" w:cs="Times New Roman"/>
          <w:color w:val="auto"/>
          <w:spacing w:val="-2"/>
        </w:rPr>
        <w:t>C</w:t>
      </w:r>
      <w:r w:rsidRPr="007848AD">
        <w:rPr>
          <w:rFonts w:ascii="Times New Roman" w:eastAsia="Times New Roman" w:hAnsi="Times New Roman" w:cs="Times New Roman"/>
          <w:color w:val="auto"/>
          <w:spacing w:val="-2"/>
        </w:rPr>
        <w:t>onsultants intéressés doivent produire les informations sur leur capacité et expérience démontrant qu’ils sont qualifiés pour les prestations</w:t>
      </w:r>
      <w:r w:rsidRPr="009F0D1D">
        <w:rPr>
          <w:rFonts w:ascii="Times New Roman" w:hAnsi="Times New Roman" w:cs="Times New Roman"/>
        </w:rPr>
        <w:t xml:space="preserve"> (</w:t>
      </w:r>
      <w:r w:rsidRPr="009F0D1D">
        <w:rPr>
          <w:rFonts w:ascii="Times New Roman" w:hAnsi="Times New Roman" w:cs="Times New Roman"/>
          <w:b/>
          <w:bCs/>
          <w:i/>
          <w:iCs/>
        </w:rPr>
        <w:t>documentation, l’organisation technique et managériale, référence de prestations similaires avec les justificatifs, expériences générales dans des missions comparables, disponibilité du personnel, etc…</w:t>
      </w:r>
      <w:proofErr w:type="gramStart"/>
      <w:r w:rsidRPr="009F0D1D">
        <w:rPr>
          <w:rFonts w:ascii="Times New Roman" w:hAnsi="Times New Roman" w:cs="Times New Roman"/>
          <w:b/>
          <w:bCs/>
          <w:i/>
          <w:iCs/>
        </w:rPr>
        <w:t>)</w:t>
      </w:r>
      <w:r w:rsidRPr="009F0D1D">
        <w:rPr>
          <w:rFonts w:ascii="Times New Roman" w:hAnsi="Times New Roman" w:cs="Times New Roman"/>
        </w:rPr>
        <w:t>.</w:t>
      </w:r>
      <w:r w:rsidR="004251BF" w:rsidRPr="009F0D1D">
        <w:rPr>
          <w:rFonts w:ascii="Times New Roman" w:hAnsi="Times New Roman" w:cs="Times New Roman"/>
          <w:b/>
          <w:bCs/>
          <w:u w:val="single"/>
        </w:rPr>
        <w:t>.</w:t>
      </w:r>
      <w:proofErr w:type="gramEnd"/>
    </w:p>
    <w:p w14:paraId="5F5CAF1C" w14:textId="77777777" w:rsidR="00D10EF0" w:rsidRPr="009F0D1D" w:rsidRDefault="00D10EF0" w:rsidP="00E05C14">
      <w:pPr>
        <w:pStyle w:val="Default"/>
        <w:numPr>
          <w:ilvl w:val="0"/>
          <w:numId w:val="9"/>
        </w:numPr>
        <w:jc w:val="both"/>
        <w:rPr>
          <w:rFonts w:ascii="Times New Roman" w:hAnsi="Times New Roman" w:cs="Times New Roman"/>
        </w:rPr>
      </w:pPr>
      <w:r w:rsidRPr="009F0D1D">
        <w:rPr>
          <w:rFonts w:ascii="Times New Roman" w:hAnsi="Times New Roman" w:cs="Times New Roman"/>
        </w:rPr>
        <w:t>Les critères d’évaluation pour la liste restreinte notés sur un total de 100 points sont :</w:t>
      </w:r>
    </w:p>
    <w:p w14:paraId="01B6AC47" w14:textId="77777777" w:rsidR="00D10EF0" w:rsidRPr="009F0D1D" w:rsidRDefault="00D10EF0" w:rsidP="00D10EF0">
      <w:pPr>
        <w:adjustRightInd w:val="0"/>
        <w:rPr>
          <w:sz w:val="24"/>
          <w:szCs w:val="24"/>
        </w:rPr>
      </w:pPr>
    </w:p>
    <w:p w14:paraId="57FBD0DF" w14:textId="1DB68D97" w:rsidR="00D10EF0" w:rsidRPr="009F0D1D" w:rsidRDefault="00D10EF0" w:rsidP="003D0267">
      <w:pPr>
        <w:numPr>
          <w:ilvl w:val="0"/>
          <w:numId w:val="4"/>
        </w:numPr>
        <w:tabs>
          <w:tab w:val="left" w:pos="567"/>
        </w:tabs>
        <w:spacing w:after="120"/>
        <w:ind w:left="567" w:right="827" w:hanging="283"/>
        <w:jc w:val="both"/>
        <w:rPr>
          <w:b/>
          <w:i/>
          <w:sz w:val="24"/>
          <w:szCs w:val="24"/>
        </w:rPr>
      </w:pPr>
      <w:r w:rsidRPr="009F0D1D">
        <w:rPr>
          <w:b/>
          <w:i/>
          <w:spacing w:val="-2"/>
          <w:sz w:val="24"/>
          <w:szCs w:val="24"/>
        </w:rPr>
        <w:t xml:space="preserve">Expérience générale du </w:t>
      </w:r>
      <w:r w:rsidR="00262C30" w:rsidRPr="009F0D1D">
        <w:rPr>
          <w:b/>
          <w:i/>
          <w:spacing w:val="-2"/>
          <w:sz w:val="24"/>
          <w:szCs w:val="24"/>
        </w:rPr>
        <w:t>C</w:t>
      </w:r>
      <w:r w:rsidRPr="009F0D1D">
        <w:rPr>
          <w:b/>
          <w:i/>
          <w:spacing w:val="-2"/>
          <w:sz w:val="24"/>
          <w:szCs w:val="24"/>
        </w:rPr>
        <w:t xml:space="preserve">onsultant </w:t>
      </w:r>
      <w:r w:rsidR="003F3B88" w:rsidRPr="009F0D1D">
        <w:rPr>
          <w:b/>
          <w:i/>
          <w:spacing w:val="-2"/>
          <w:sz w:val="24"/>
          <w:szCs w:val="24"/>
        </w:rPr>
        <w:t>(Firme</w:t>
      </w:r>
      <w:r w:rsidR="00262C30" w:rsidRPr="009F0D1D">
        <w:rPr>
          <w:b/>
          <w:i/>
          <w:spacing w:val="-2"/>
          <w:sz w:val="24"/>
          <w:szCs w:val="24"/>
        </w:rPr>
        <w:t xml:space="preserve">) </w:t>
      </w:r>
      <w:r w:rsidRPr="009F0D1D">
        <w:rPr>
          <w:b/>
          <w:i/>
          <w:spacing w:val="-2"/>
          <w:sz w:val="24"/>
          <w:szCs w:val="24"/>
        </w:rPr>
        <w:t xml:space="preserve">dans le domaine, notée sur </w:t>
      </w:r>
      <w:r w:rsidR="00BD02BD" w:rsidRPr="009F0D1D">
        <w:rPr>
          <w:b/>
          <w:i/>
          <w:spacing w:val="-2"/>
          <w:sz w:val="24"/>
          <w:szCs w:val="24"/>
        </w:rPr>
        <w:t>30</w:t>
      </w:r>
      <w:r w:rsidR="00677FF3" w:rsidRPr="009F0D1D">
        <w:rPr>
          <w:b/>
          <w:i/>
          <w:spacing w:val="-2"/>
          <w:sz w:val="24"/>
          <w:szCs w:val="24"/>
        </w:rPr>
        <w:t xml:space="preserve"> </w:t>
      </w:r>
      <w:r w:rsidRPr="009F0D1D">
        <w:rPr>
          <w:b/>
          <w:i/>
          <w:spacing w:val="-2"/>
          <w:sz w:val="24"/>
          <w:szCs w:val="24"/>
        </w:rPr>
        <w:t xml:space="preserve">points à raison de </w:t>
      </w:r>
      <w:r w:rsidR="00CC4B53" w:rsidRPr="009F0D1D">
        <w:rPr>
          <w:b/>
          <w:i/>
          <w:spacing w:val="-2"/>
          <w:sz w:val="24"/>
          <w:szCs w:val="24"/>
        </w:rPr>
        <w:t>3</w:t>
      </w:r>
      <w:r w:rsidRPr="009F0D1D">
        <w:rPr>
          <w:b/>
          <w:i/>
          <w:spacing w:val="-2"/>
          <w:sz w:val="24"/>
          <w:szCs w:val="24"/>
        </w:rPr>
        <w:t xml:space="preserve"> </w:t>
      </w:r>
      <w:r w:rsidRPr="009F0D1D">
        <w:rPr>
          <w:b/>
          <w:bCs/>
          <w:i/>
          <w:iCs/>
          <w:sz w:val="24"/>
          <w:szCs w:val="24"/>
        </w:rPr>
        <w:t>points</w:t>
      </w:r>
      <w:r w:rsidRPr="009F0D1D">
        <w:rPr>
          <w:b/>
          <w:i/>
          <w:spacing w:val="-2"/>
          <w:sz w:val="24"/>
          <w:szCs w:val="24"/>
        </w:rPr>
        <w:t xml:space="preserve"> par année d’expérience jusqu’à concurrence des </w:t>
      </w:r>
      <w:r w:rsidR="00BD02BD" w:rsidRPr="009F0D1D">
        <w:rPr>
          <w:b/>
          <w:i/>
          <w:spacing w:val="-2"/>
          <w:sz w:val="24"/>
          <w:szCs w:val="24"/>
        </w:rPr>
        <w:t>30</w:t>
      </w:r>
      <w:r w:rsidR="00970A39" w:rsidRPr="009F0D1D">
        <w:rPr>
          <w:b/>
          <w:i/>
          <w:spacing w:val="-2"/>
          <w:sz w:val="24"/>
          <w:szCs w:val="24"/>
        </w:rPr>
        <w:t xml:space="preserve"> </w:t>
      </w:r>
      <w:r w:rsidRPr="009F0D1D">
        <w:rPr>
          <w:b/>
          <w:i/>
          <w:spacing w:val="-2"/>
          <w:sz w:val="24"/>
          <w:szCs w:val="24"/>
        </w:rPr>
        <w:t>points ;</w:t>
      </w:r>
    </w:p>
    <w:p w14:paraId="7288D3E0" w14:textId="588CBA87" w:rsidR="00D10EF0" w:rsidRPr="009F0D1D" w:rsidRDefault="00D10EF0" w:rsidP="003D0267">
      <w:pPr>
        <w:numPr>
          <w:ilvl w:val="0"/>
          <w:numId w:val="4"/>
        </w:numPr>
        <w:tabs>
          <w:tab w:val="left" w:pos="567"/>
        </w:tabs>
        <w:spacing w:after="120"/>
        <w:ind w:left="567" w:right="827" w:hanging="283"/>
        <w:jc w:val="both"/>
        <w:rPr>
          <w:b/>
          <w:i/>
          <w:spacing w:val="-2"/>
          <w:sz w:val="24"/>
          <w:szCs w:val="24"/>
        </w:rPr>
      </w:pPr>
      <w:r w:rsidRPr="009F0D1D">
        <w:rPr>
          <w:b/>
          <w:i/>
          <w:spacing w:val="-2"/>
          <w:sz w:val="24"/>
          <w:szCs w:val="24"/>
        </w:rPr>
        <w:t>Référence de prestations similaires</w:t>
      </w:r>
      <w:r w:rsidR="00952512" w:rsidRPr="009F0D1D">
        <w:rPr>
          <w:b/>
          <w:i/>
          <w:spacing w:val="-2"/>
          <w:sz w:val="24"/>
          <w:szCs w:val="24"/>
        </w:rPr>
        <w:t xml:space="preserve"> pour des études techniques d’au moins 50 km de routes à bitumer/réhabiliter</w:t>
      </w:r>
      <w:r w:rsidRPr="009F0D1D">
        <w:rPr>
          <w:b/>
          <w:i/>
          <w:spacing w:val="-2"/>
          <w:sz w:val="24"/>
          <w:szCs w:val="24"/>
        </w:rPr>
        <w:t xml:space="preserve"> (expériences spécifiques justifiées) notée sur 60 points à raison de 10 points par expérience spécifique jusqu’à concurrence des 60 points ;</w:t>
      </w:r>
    </w:p>
    <w:p w14:paraId="0635398E" w14:textId="7BB2898B" w:rsidR="00D10EF0" w:rsidRPr="009F0D1D" w:rsidRDefault="00D10EF0" w:rsidP="003D0267">
      <w:pPr>
        <w:numPr>
          <w:ilvl w:val="0"/>
          <w:numId w:val="4"/>
        </w:numPr>
        <w:tabs>
          <w:tab w:val="left" w:pos="567"/>
        </w:tabs>
        <w:spacing w:after="120"/>
        <w:ind w:left="567" w:right="827" w:hanging="283"/>
        <w:jc w:val="both"/>
        <w:rPr>
          <w:b/>
          <w:i/>
          <w:spacing w:val="-2"/>
          <w:sz w:val="24"/>
          <w:szCs w:val="24"/>
        </w:rPr>
      </w:pPr>
      <w:r w:rsidRPr="009F0D1D">
        <w:rPr>
          <w:b/>
          <w:i/>
          <w:spacing w:val="-2"/>
          <w:sz w:val="24"/>
          <w:szCs w:val="24"/>
        </w:rPr>
        <w:t xml:space="preserve">Capacités techniques et de gestion du Consultant notées sur </w:t>
      </w:r>
      <w:r w:rsidR="00BD02BD" w:rsidRPr="009F0D1D">
        <w:rPr>
          <w:b/>
          <w:i/>
          <w:spacing w:val="-2"/>
          <w:sz w:val="24"/>
          <w:szCs w:val="24"/>
        </w:rPr>
        <w:t>10</w:t>
      </w:r>
      <w:r w:rsidR="00597579" w:rsidRPr="009F0D1D">
        <w:rPr>
          <w:b/>
          <w:i/>
          <w:spacing w:val="-2"/>
          <w:sz w:val="24"/>
          <w:szCs w:val="24"/>
        </w:rPr>
        <w:t xml:space="preserve"> </w:t>
      </w:r>
      <w:r w:rsidRPr="009F0D1D">
        <w:rPr>
          <w:b/>
          <w:i/>
          <w:spacing w:val="-2"/>
          <w:sz w:val="24"/>
          <w:szCs w:val="24"/>
        </w:rPr>
        <w:t>points</w:t>
      </w:r>
      <w:r w:rsidR="00414B51" w:rsidRPr="009F0D1D">
        <w:rPr>
          <w:b/>
          <w:i/>
          <w:spacing w:val="-2"/>
          <w:sz w:val="24"/>
          <w:szCs w:val="24"/>
        </w:rPr>
        <w:t xml:space="preserve"> (le </w:t>
      </w:r>
      <w:r w:rsidR="00180136" w:rsidRPr="009F0D1D">
        <w:rPr>
          <w:b/>
          <w:i/>
          <w:spacing w:val="-2"/>
          <w:sz w:val="24"/>
          <w:szCs w:val="24"/>
        </w:rPr>
        <w:t>C</w:t>
      </w:r>
      <w:r w:rsidR="00414B51" w:rsidRPr="009F0D1D">
        <w:rPr>
          <w:b/>
          <w:i/>
          <w:spacing w:val="-2"/>
          <w:sz w:val="24"/>
          <w:szCs w:val="24"/>
        </w:rPr>
        <w:t>onsultant devra pouvoir justifier sa capacité</w:t>
      </w:r>
      <w:r w:rsidR="004A2AC4" w:rsidRPr="009F0D1D">
        <w:rPr>
          <w:b/>
          <w:i/>
          <w:spacing w:val="-2"/>
          <w:sz w:val="24"/>
          <w:szCs w:val="24"/>
        </w:rPr>
        <w:t xml:space="preserve"> </w:t>
      </w:r>
      <w:r w:rsidR="005A7563" w:rsidRPr="009F0D1D">
        <w:rPr>
          <w:b/>
          <w:i/>
          <w:spacing w:val="-2"/>
          <w:sz w:val="24"/>
          <w:szCs w:val="24"/>
        </w:rPr>
        <w:t>technique,</w:t>
      </w:r>
      <w:r w:rsidR="004A2AC4" w:rsidRPr="009F0D1D">
        <w:rPr>
          <w:b/>
          <w:i/>
          <w:spacing w:val="-2"/>
          <w:sz w:val="24"/>
          <w:szCs w:val="24"/>
        </w:rPr>
        <w:t xml:space="preserve"> et disponibilité d’un personnel qualifié et en nombre suffisant pour plus d’un lot)</w:t>
      </w:r>
      <w:r w:rsidRPr="009F0D1D">
        <w:rPr>
          <w:b/>
          <w:i/>
          <w:spacing w:val="-2"/>
          <w:sz w:val="24"/>
          <w:szCs w:val="24"/>
        </w:rPr>
        <w:t>.</w:t>
      </w:r>
    </w:p>
    <w:p w14:paraId="42EDB5C2" w14:textId="7CAA6E32" w:rsidR="00D10EF0" w:rsidRPr="009F0D1D" w:rsidRDefault="00401918" w:rsidP="00E05C14">
      <w:pPr>
        <w:pStyle w:val="Default"/>
        <w:ind w:left="284" w:right="827"/>
        <w:jc w:val="both"/>
        <w:rPr>
          <w:rFonts w:ascii="Times New Roman" w:hAnsi="Times New Roman" w:cs="Times New Roman"/>
          <w:color w:val="auto"/>
        </w:rPr>
      </w:pPr>
      <w:r w:rsidRPr="009F0D1D">
        <w:rPr>
          <w:rFonts w:ascii="Times New Roman" w:hAnsi="Times New Roman" w:cs="Times New Roman"/>
        </w:rPr>
        <w:t xml:space="preserve"> </w:t>
      </w:r>
      <w:r w:rsidR="00D10EF0" w:rsidRPr="009F0D1D">
        <w:rPr>
          <w:rFonts w:ascii="Times New Roman" w:hAnsi="Times New Roman" w:cs="Times New Roman"/>
        </w:rPr>
        <w:t>En cas d’égalité de note, les candidats seront départagés sur la base du nombre d’expériences spécifiques justifiées.</w:t>
      </w:r>
    </w:p>
    <w:p w14:paraId="34629DA8" w14:textId="77777777" w:rsidR="00D10EF0" w:rsidRPr="009F0D1D" w:rsidRDefault="00D10EF0" w:rsidP="00D10EF0">
      <w:pPr>
        <w:pStyle w:val="Default"/>
        <w:jc w:val="both"/>
        <w:rPr>
          <w:rFonts w:ascii="Times New Roman" w:eastAsia="Times New Roman" w:hAnsi="Times New Roman" w:cs="Times New Roman"/>
          <w:color w:val="auto"/>
          <w:spacing w:val="-2"/>
        </w:rPr>
      </w:pPr>
    </w:p>
    <w:p w14:paraId="46470920" w14:textId="5B69B698" w:rsidR="00D10EF0" w:rsidRPr="009F0D1D" w:rsidRDefault="00D10EF0" w:rsidP="00E05C14">
      <w:pPr>
        <w:pStyle w:val="Default"/>
        <w:ind w:left="284" w:right="827"/>
        <w:jc w:val="both"/>
        <w:rPr>
          <w:rFonts w:ascii="Times New Roman" w:eastAsia="Times New Roman" w:hAnsi="Times New Roman" w:cs="Times New Roman"/>
          <w:color w:val="auto"/>
          <w:spacing w:val="-2"/>
        </w:rPr>
      </w:pPr>
      <w:r w:rsidRPr="009F0D1D">
        <w:rPr>
          <w:rFonts w:ascii="Times New Roman" w:eastAsia="Times New Roman" w:hAnsi="Times New Roman" w:cs="Times New Roman"/>
          <w:b/>
          <w:bCs/>
          <w:color w:val="auto"/>
          <w:spacing w:val="-2"/>
          <w:u w:val="single"/>
        </w:rPr>
        <w:t>NB</w:t>
      </w:r>
      <w:r w:rsidRPr="009F0D1D">
        <w:rPr>
          <w:rFonts w:ascii="Times New Roman" w:eastAsia="Times New Roman" w:hAnsi="Times New Roman" w:cs="Times New Roman"/>
          <w:color w:val="auto"/>
          <w:spacing w:val="-2"/>
          <w:u w:val="single"/>
        </w:rPr>
        <w:t xml:space="preserve"> </w:t>
      </w:r>
      <w:r w:rsidRPr="009F0D1D">
        <w:rPr>
          <w:rFonts w:ascii="Times New Roman" w:eastAsia="Times New Roman" w:hAnsi="Times New Roman" w:cs="Times New Roman"/>
          <w:color w:val="auto"/>
          <w:spacing w:val="-2"/>
        </w:rPr>
        <w:t xml:space="preserve">: Chaque référence sera résumée sur une fiche de projet comportant les coordonnées des Maîtres d’Ouvrage permettant la vérification éventuelle des informations fournies </w:t>
      </w:r>
      <w:r w:rsidR="00021E9D" w:rsidRPr="009F0D1D">
        <w:rPr>
          <w:rFonts w:ascii="Times New Roman" w:eastAsia="Times New Roman" w:hAnsi="Times New Roman" w:cs="Times New Roman"/>
          <w:color w:val="auto"/>
          <w:spacing w:val="-2"/>
        </w:rPr>
        <w:t xml:space="preserve">et ne sera prise en compte que si le candidat y joint les justificatifs suivants </w:t>
      </w:r>
      <w:r w:rsidRPr="009F0D1D">
        <w:rPr>
          <w:rFonts w:ascii="Times New Roman" w:eastAsia="Times New Roman" w:hAnsi="Times New Roman" w:cs="Times New Roman"/>
          <w:color w:val="auto"/>
          <w:spacing w:val="-2"/>
        </w:rPr>
        <w:t xml:space="preserve">: </w:t>
      </w:r>
      <w:r w:rsidR="00021E9D" w:rsidRPr="009F0D1D">
        <w:rPr>
          <w:rFonts w:ascii="Times New Roman" w:eastAsia="Times New Roman" w:hAnsi="Times New Roman" w:cs="Times New Roman"/>
          <w:color w:val="auto"/>
          <w:spacing w:val="-2"/>
        </w:rPr>
        <w:t xml:space="preserve">(i) </w:t>
      </w:r>
      <w:r w:rsidRPr="009F0D1D">
        <w:rPr>
          <w:rFonts w:ascii="Times New Roman" w:eastAsia="Times New Roman" w:hAnsi="Times New Roman" w:cs="Times New Roman"/>
          <w:color w:val="auto"/>
          <w:spacing w:val="-2"/>
        </w:rPr>
        <w:t>Attestation de bonne exécution</w:t>
      </w:r>
      <w:r w:rsidR="00952512" w:rsidRPr="009F0D1D">
        <w:rPr>
          <w:rFonts w:ascii="Times New Roman" w:eastAsia="Times New Roman" w:hAnsi="Times New Roman" w:cs="Times New Roman"/>
          <w:color w:val="auto"/>
          <w:spacing w:val="-2"/>
        </w:rPr>
        <w:t xml:space="preserve"> et </w:t>
      </w:r>
      <w:r w:rsidR="00021E9D" w:rsidRPr="009F0D1D">
        <w:rPr>
          <w:rFonts w:ascii="Times New Roman" w:eastAsia="Times New Roman" w:hAnsi="Times New Roman" w:cs="Times New Roman"/>
          <w:color w:val="auto"/>
          <w:spacing w:val="-2"/>
        </w:rPr>
        <w:t xml:space="preserve">(ii) </w:t>
      </w:r>
      <w:r w:rsidR="00952512" w:rsidRPr="009F0D1D">
        <w:rPr>
          <w:rFonts w:ascii="Times New Roman" w:eastAsia="Times New Roman" w:hAnsi="Times New Roman" w:cs="Times New Roman"/>
          <w:color w:val="auto"/>
          <w:spacing w:val="-2"/>
        </w:rPr>
        <w:t>pages de garde et de signature des contrats</w:t>
      </w:r>
      <w:r w:rsidRPr="009F0D1D">
        <w:rPr>
          <w:rFonts w:ascii="Times New Roman" w:eastAsia="Times New Roman" w:hAnsi="Times New Roman" w:cs="Times New Roman"/>
          <w:color w:val="auto"/>
          <w:spacing w:val="-2"/>
        </w:rPr>
        <w:t>.</w:t>
      </w:r>
    </w:p>
    <w:p w14:paraId="31DCF239" w14:textId="77777777" w:rsidR="00B56E22" w:rsidRPr="009F0D1D" w:rsidRDefault="00B56E22" w:rsidP="00D10EF0">
      <w:pPr>
        <w:pStyle w:val="Default"/>
        <w:jc w:val="both"/>
        <w:rPr>
          <w:rFonts w:ascii="Times New Roman" w:eastAsia="Times New Roman" w:hAnsi="Times New Roman" w:cs="Times New Roman"/>
          <w:color w:val="auto"/>
          <w:spacing w:val="-2"/>
        </w:rPr>
      </w:pPr>
    </w:p>
    <w:p w14:paraId="67F76BCD" w14:textId="315260A9" w:rsidR="00D10EF0" w:rsidRPr="009F0D1D" w:rsidRDefault="00D10EF0" w:rsidP="00E05C14">
      <w:pPr>
        <w:pStyle w:val="Default"/>
        <w:numPr>
          <w:ilvl w:val="0"/>
          <w:numId w:val="9"/>
        </w:numPr>
        <w:jc w:val="both"/>
        <w:rPr>
          <w:rFonts w:ascii="Times New Roman" w:hAnsi="Times New Roman" w:cs="Times New Roman"/>
          <w:color w:val="auto"/>
        </w:rPr>
      </w:pPr>
      <w:r w:rsidRPr="009F0D1D">
        <w:rPr>
          <w:rFonts w:ascii="Times New Roman" w:hAnsi="Times New Roman" w:cs="Times New Roman"/>
          <w:color w:val="auto"/>
        </w:rPr>
        <w:t xml:space="preserve">Les </w:t>
      </w:r>
      <w:r w:rsidR="00180136" w:rsidRPr="009F0D1D">
        <w:rPr>
          <w:rFonts w:ascii="Times New Roman" w:hAnsi="Times New Roman" w:cs="Times New Roman"/>
          <w:color w:val="auto"/>
        </w:rPr>
        <w:t>C</w:t>
      </w:r>
      <w:r w:rsidRPr="009F0D1D">
        <w:rPr>
          <w:rFonts w:ascii="Times New Roman" w:hAnsi="Times New Roman" w:cs="Times New Roman"/>
          <w:color w:val="auto"/>
        </w:rPr>
        <w:t xml:space="preserve">onsultants peuvent se mettre en association pour augmenter leurs chances de qualification. En </w:t>
      </w:r>
      <w:r w:rsidRPr="009F0D1D">
        <w:rPr>
          <w:rFonts w:ascii="Times New Roman" w:eastAsia="Times New Roman" w:hAnsi="Times New Roman" w:cs="Times New Roman"/>
          <w:color w:val="auto"/>
          <w:spacing w:val="-2"/>
        </w:rPr>
        <w:t>cas</w:t>
      </w:r>
      <w:r w:rsidRPr="009F0D1D">
        <w:rPr>
          <w:rFonts w:ascii="Times New Roman" w:hAnsi="Times New Roman" w:cs="Times New Roman"/>
          <w:color w:val="auto"/>
        </w:rPr>
        <w:t xml:space="preserve"> de groupement, l’accord constitutif de groupement devra être joint</w:t>
      </w:r>
      <w:r w:rsidR="00180136" w:rsidRPr="009F0D1D">
        <w:rPr>
          <w:rFonts w:ascii="Times New Roman" w:hAnsi="Times New Roman" w:cs="Times New Roman"/>
        </w:rPr>
        <w:t xml:space="preserve"> </w:t>
      </w:r>
      <w:r w:rsidR="00180136" w:rsidRPr="009F0D1D">
        <w:rPr>
          <w:rFonts w:ascii="Times New Roman" w:hAnsi="Times New Roman" w:cs="Times New Roman"/>
          <w:color w:val="auto"/>
        </w:rPr>
        <w:t>ou une lettre d’intention de constituer un groupement dans l’hypothèse où sa proposition serait retenue, signée par tous ses membres et accompagnée d’une copie de l’accord de groupement proposé. L’autorité contractante se réserve le droit de vérifier toutes les informations fournies par le soumissionnaire.</w:t>
      </w:r>
    </w:p>
    <w:p w14:paraId="19EF90B6" w14:textId="77777777" w:rsidR="00D10EF0" w:rsidRPr="009F0D1D" w:rsidRDefault="00D10EF0" w:rsidP="00D10EF0">
      <w:pPr>
        <w:pStyle w:val="Default"/>
        <w:jc w:val="both"/>
        <w:rPr>
          <w:rFonts w:ascii="Times New Roman" w:hAnsi="Times New Roman" w:cs="Times New Roman"/>
          <w:color w:val="auto"/>
        </w:rPr>
      </w:pPr>
    </w:p>
    <w:p w14:paraId="10D0AA0C" w14:textId="72E50BCE" w:rsidR="00A00F77" w:rsidRPr="009F0D1D" w:rsidRDefault="00D10EF0" w:rsidP="00E05C14">
      <w:pPr>
        <w:pStyle w:val="Default"/>
        <w:numPr>
          <w:ilvl w:val="0"/>
          <w:numId w:val="9"/>
        </w:numPr>
        <w:jc w:val="both"/>
        <w:rPr>
          <w:rFonts w:ascii="Times New Roman" w:hAnsi="Times New Roman" w:cs="Times New Roman"/>
          <w:color w:val="auto"/>
        </w:rPr>
      </w:pPr>
      <w:r w:rsidRPr="009F0D1D">
        <w:rPr>
          <w:rFonts w:ascii="Times New Roman" w:hAnsi="Times New Roman" w:cs="Times New Roman"/>
          <w:color w:val="auto"/>
        </w:rPr>
        <w:t xml:space="preserve">Les critères d’éligibilité, l’établissement de la liste restreinte </w:t>
      </w:r>
      <w:r w:rsidR="00875700" w:rsidRPr="009F0D1D">
        <w:rPr>
          <w:rFonts w:ascii="Times New Roman" w:hAnsi="Times New Roman" w:cs="Times New Roman"/>
          <w:color w:val="auto"/>
        </w:rPr>
        <w:t xml:space="preserve">par lot </w:t>
      </w:r>
      <w:r w:rsidRPr="009F0D1D">
        <w:rPr>
          <w:rFonts w:ascii="Times New Roman" w:hAnsi="Times New Roman" w:cs="Times New Roman"/>
          <w:color w:val="auto"/>
        </w:rPr>
        <w:t xml:space="preserve">et la procédure de sélection seront </w:t>
      </w:r>
      <w:r w:rsidRPr="009F0D1D">
        <w:rPr>
          <w:rFonts w:ascii="Times New Roman" w:eastAsia="Times New Roman" w:hAnsi="Times New Roman" w:cs="Times New Roman"/>
          <w:color w:val="auto"/>
          <w:spacing w:val="-2"/>
        </w:rPr>
        <w:t>conformes</w:t>
      </w:r>
      <w:r w:rsidRPr="009F0D1D">
        <w:rPr>
          <w:rFonts w:ascii="Times New Roman" w:hAnsi="Times New Roman" w:cs="Times New Roman"/>
          <w:color w:val="auto"/>
        </w:rPr>
        <w:t xml:space="preserve"> </w:t>
      </w:r>
      <w:r w:rsidR="00952512" w:rsidRPr="009F0D1D">
        <w:rPr>
          <w:rFonts w:ascii="Times New Roman" w:hAnsi="Times New Roman" w:cs="Times New Roman"/>
          <w:color w:val="auto"/>
        </w:rPr>
        <w:t xml:space="preserve">» </w:t>
      </w:r>
      <w:r w:rsidRPr="009F0D1D">
        <w:rPr>
          <w:rFonts w:ascii="Times New Roman" w:hAnsi="Times New Roman" w:cs="Times New Roman"/>
          <w:color w:val="auto"/>
        </w:rPr>
        <w:t>au « Cadre de passation</w:t>
      </w:r>
      <w:r w:rsidRPr="009F0D1D">
        <w:rPr>
          <w:rFonts w:ascii="Times New Roman" w:hAnsi="Times New Roman" w:cs="Times New Roman"/>
          <w:b/>
          <w:i/>
          <w:color w:val="auto"/>
        </w:rPr>
        <w:t xml:space="preserve"> des marchés pour les opérations financées par le Groupe de la Banque</w:t>
      </w:r>
      <w:r w:rsidR="00180136" w:rsidRPr="009F0D1D">
        <w:rPr>
          <w:rFonts w:ascii="Times New Roman" w:hAnsi="Times New Roman" w:cs="Times New Roman"/>
          <w:b/>
          <w:i/>
          <w:color w:val="auto"/>
        </w:rPr>
        <w:t xml:space="preserve"> Africaine de Développement</w:t>
      </w:r>
      <w:r w:rsidRPr="009F0D1D">
        <w:rPr>
          <w:rFonts w:ascii="Times New Roman" w:hAnsi="Times New Roman" w:cs="Times New Roman"/>
          <w:b/>
          <w:i/>
          <w:color w:val="auto"/>
        </w:rPr>
        <w:t> »,</w:t>
      </w:r>
      <w:r w:rsidRPr="009F0D1D">
        <w:rPr>
          <w:rFonts w:ascii="Times New Roman" w:hAnsi="Times New Roman" w:cs="Times New Roman"/>
          <w:color w:val="auto"/>
        </w:rPr>
        <w:t xml:space="preserve"> Edition octobre 2015 de la Banque Africaine de Développement, qui est disponible sur le site web de la Banque à l’adresse : </w:t>
      </w:r>
      <w:hyperlink r:id="rId10" w:history="1">
        <w:r w:rsidRPr="009F0D1D">
          <w:rPr>
            <w:rFonts w:ascii="Times New Roman" w:hAnsi="Times New Roman" w:cs="Times New Roman"/>
            <w:color w:val="4F81BD" w:themeColor="accent1"/>
          </w:rPr>
          <w:t>http://www.afdb.org</w:t>
        </w:r>
      </w:hyperlink>
      <w:r w:rsidRPr="009F0D1D">
        <w:rPr>
          <w:rFonts w:ascii="Times New Roman" w:hAnsi="Times New Roman" w:cs="Times New Roman"/>
          <w:color w:val="4F81BD" w:themeColor="accent1"/>
        </w:rPr>
        <w:t>.</w:t>
      </w:r>
      <w:r w:rsidR="00952512" w:rsidRPr="009F0D1D">
        <w:rPr>
          <w:rFonts w:ascii="Times New Roman" w:hAnsi="Times New Roman" w:cs="Times New Roman"/>
          <w:color w:val="4F81BD" w:themeColor="accent1"/>
        </w:rPr>
        <w:t xml:space="preserve"> </w:t>
      </w:r>
      <w:r w:rsidRPr="009F0D1D">
        <w:rPr>
          <w:rFonts w:ascii="Times New Roman" w:hAnsi="Times New Roman" w:cs="Times New Roman"/>
          <w:color w:val="auto"/>
        </w:rPr>
        <w:t xml:space="preserve">L’intérêt manifesté par un consultant n’implique aucune obligation de la part de l’emprunteur de le retenir sur la liste restreinte. </w:t>
      </w:r>
      <w:r w:rsidR="00180136" w:rsidRPr="009F0D1D">
        <w:rPr>
          <w:rFonts w:ascii="Times New Roman" w:hAnsi="Times New Roman" w:cs="Times New Roman"/>
          <w:color w:val="auto"/>
        </w:rPr>
        <w:t>La méthode de sélection sera la sélection basée sur la qualité et le coût (SBQC)</w:t>
      </w:r>
      <w:r w:rsidR="00B822AF" w:rsidRPr="009F0D1D">
        <w:rPr>
          <w:rFonts w:ascii="Times New Roman" w:hAnsi="Times New Roman" w:cs="Times New Roman"/>
          <w:color w:val="auto"/>
        </w:rPr>
        <w:t xml:space="preserve"> pour chaque </w:t>
      </w:r>
      <w:r w:rsidR="009C047D" w:rsidRPr="009F0D1D">
        <w:rPr>
          <w:rFonts w:ascii="Times New Roman" w:hAnsi="Times New Roman" w:cs="Times New Roman"/>
          <w:color w:val="auto"/>
        </w:rPr>
        <w:t>zone</w:t>
      </w:r>
      <w:r w:rsidR="00180136" w:rsidRPr="009F0D1D">
        <w:rPr>
          <w:rFonts w:ascii="Times New Roman" w:hAnsi="Times New Roman" w:cs="Times New Roman"/>
          <w:color w:val="auto"/>
        </w:rPr>
        <w:t>.</w:t>
      </w:r>
    </w:p>
    <w:p w14:paraId="33819BE0" w14:textId="77777777" w:rsidR="00CF205C" w:rsidRPr="009F0D1D" w:rsidRDefault="00CF205C">
      <w:pPr>
        <w:pStyle w:val="Default"/>
        <w:ind w:right="827"/>
        <w:jc w:val="both"/>
        <w:rPr>
          <w:rFonts w:ascii="Times New Roman" w:hAnsi="Times New Roman" w:cs="Times New Roman"/>
          <w:color w:val="auto"/>
        </w:rPr>
      </w:pPr>
    </w:p>
    <w:p w14:paraId="550FF70F" w14:textId="07E56351" w:rsidR="00842B67" w:rsidRPr="009F0D1D" w:rsidRDefault="00A00F77" w:rsidP="00E05C14">
      <w:pPr>
        <w:pStyle w:val="Default"/>
        <w:ind w:left="720" w:right="827"/>
        <w:jc w:val="both"/>
        <w:rPr>
          <w:rFonts w:ascii="Times New Roman" w:hAnsi="Times New Roman" w:cs="Times New Roman"/>
          <w:b/>
          <w:bCs/>
          <w:color w:val="auto"/>
        </w:rPr>
      </w:pPr>
      <w:r w:rsidRPr="009F0D1D">
        <w:rPr>
          <w:rFonts w:ascii="Times New Roman" w:hAnsi="Times New Roman" w:cs="Times New Roman"/>
          <w:b/>
          <w:bCs/>
          <w:color w:val="auto"/>
          <w:u w:val="single"/>
        </w:rPr>
        <w:t>NB</w:t>
      </w:r>
      <w:r w:rsidRPr="009F0D1D">
        <w:rPr>
          <w:rFonts w:ascii="Times New Roman" w:hAnsi="Times New Roman" w:cs="Times New Roman"/>
          <w:b/>
          <w:bCs/>
          <w:color w:val="auto"/>
        </w:rPr>
        <w:t xml:space="preserve"> : </w:t>
      </w:r>
      <w:r w:rsidR="007D119D" w:rsidRPr="009F0D1D">
        <w:rPr>
          <w:rFonts w:ascii="Times New Roman" w:hAnsi="Times New Roman" w:cs="Times New Roman"/>
          <w:b/>
          <w:bCs/>
          <w:color w:val="auto"/>
        </w:rPr>
        <w:t>L</w:t>
      </w:r>
      <w:r w:rsidR="00842B67" w:rsidRPr="009F0D1D">
        <w:rPr>
          <w:rFonts w:ascii="Times New Roman" w:hAnsi="Times New Roman" w:cs="Times New Roman"/>
          <w:b/>
          <w:bCs/>
          <w:color w:val="auto"/>
        </w:rPr>
        <w:t xml:space="preserve">es Consultants intéressés par plusieurs </w:t>
      </w:r>
      <w:r w:rsidR="009C047D" w:rsidRPr="009F0D1D">
        <w:rPr>
          <w:rFonts w:ascii="Times New Roman" w:hAnsi="Times New Roman" w:cs="Times New Roman"/>
          <w:b/>
          <w:bCs/>
          <w:color w:val="auto"/>
        </w:rPr>
        <w:t>zone</w:t>
      </w:r>
      <w:r w:rsidR="004018DF">
        <w:rPr>
          <w:rFonts w:ascii="Times New Roman" w:hAnsi="Times New Roman" w:cs="Times New Roman"/>
          <w:b/>
          <w:bCs/>
          <w:color w:val="auto"/>
        </w:rPr>
        <w:t>s</w:t>
      </w:r>
      <w:r w:rsidR="009C047D" w:rsidRPr="009F0D1D">
        <w:rPr>
          <w:rFonts w:ascii="Times New Roman" w:hAnsi="Times New Roman" w:cs="Times New Roman"/>
          <w:b/>
          <w:bCs/>
          <w:color w:val="auto"/>
        </w:rPr>
        <w:t xml:space="preserve"> </w:t>
      </w:r>
      <w:r w:rsidR="00842B67" w:rsidRPr="009F0D1D">
        <w:rPr>
          <w:rFonts w:ascii="Times New Roman" w:hAnsi="Times New Roman" w:cs="Times New Roman"/>
          <w:b/>
          <w:bCs/>
          <w:color w:val="auto"/>
        </w:rPr>
        <w:t xml:space="preserve">devront </w:t>
      </w:r>
      <w:r w:rsidR="00505B77" w:rsidRPr="009F0D1D">
        <w:rPr>
          <w:rFonts w:ascii="Times New Roman" w:hAnsi="Times New Roman" w:cs="Times New Roman"/>
          <w:b/>
          <w:bCs/>
          <w:color w:val="auto"/>
        </w:rPr>
        <w:t>le préciser</w:t>
      </w:r>
      <w:r w:rsidR="00842B67" w:rsidRPr="009F0D1D">
        <w:rPr>
          <w:rFonts w:ascii="Times New Roman" w:hAnsi="Times New Roman" w:cs="Times New Roman"/>
          <w:b/>
          <w:bCs/>
          <w:color w:val="auto"/>
        </w:rPr>
        <w:t xml:space="preserve">. L’opportunité de sélectionner un candidat sur plusieurs </w:t>
      </w:r>
      <w:r w:rsidR="00A92801" w:rsidRPr="009F0D1D">
        <w:rPr>
          <w:rFonts w:ascii="Times New Roman" w:hAnsi="Times New Roman" w:cs="Times New Roman"/>
          <w:b/>
          <w:bCs/>
          <w:color w:val="auto"/>
        </w:rPr>
        <w:t>zones</w:t>
      </w:r>
      <w:r w:rsidRPr="009F0D1D">
        <w:rPr>
          <w:rFonts w:ascii="Times New Roman" w:hAnsi="Times New Roman" w:cs="Times New Roman"/>
          <w:b/>
          <w:bCs/>
          <w:color w:val="auto"/>
        </w:rPr>
        <w:t xml:space="preserve"> </w:t>
      </w:r>
      <w:r w:rsidR="00842B67" w:rsidRPr="009F0D1D">
        <w:rPr>
          <w:rFonts w:ascii="Times New Roman" w:hAnsi="Times New Roman" w:cs="Times New Roman"/>
          <w:b/>
          <w:bCs/>
          <w:color w:val="auto"/>
        </w:rPr>
        <w:t xml:space="preserve">est du ressort exclusif </w:t>
      </w:r>
      <w:r w:rsidR="00C201A3" w:rsidRPr="009F0D1D">
        <w:rPr>
          <w:rFonts w:ascii="Times New Roman" w:hAnsi="Times New Roman" w:cs="Times New Roman"/>
          <w:b/>
          <w:bCs/>
          <w:color w:val="auto"/>
        </w:rPr>
        <w:t>de l’Organe d’exécution</w:t>
      </w:r>
      <w:r w:rsidR="00842B67" w:rsidRPr="009F0D1D">
        <w:rPr>
          <w:rFonts w:ascii="Times New Roman" w:hAnsi="Times New Roman" w:cs="Times New Roman"/>
          <w:b/>
          <w:bCs/>
          <w:color w:val="auto"/>
        </w:rPr>
        <w:t>.</w:t>
      </w:r>
    </w:p>
    <w:p w14:paraId="253FCA33" w14:textId="77777777" w:rsidR="00842B67" w:rsidRPr="009F0D1D" w:rsidRDefault="00842B67" w:rsidP="00D10EF0">
      <w:pPr>
        <w:pStyle w:val="Default"/>
        <w:jc w:val="both"/>
        <w:rPr>
          <w:rFonts w:ascii="Times New Roman" w:hAnsi="Times New Roman" w:cs="Times New Roman"/>
          <w:color w:val="auto"/>
        </w:rPr>
      </w:pPr>
    </w:p>
    <w:p w14:paraId="17F8F0AD" w14:textId="07EAB30B" w:rsidR="00520C65" w:rsidRPr="009F0D1D" w:rsidRDefault="00520C65" w:rsidP="00E05C14">
      <w:pPr>
        <w:pStyle w:val="Default"/>
        <w:numPr>
          <w:ilvl w:val="0"/>
          <w:numId w:val="9"/>
        </w:numPr>
        <w:jc w:val="both"/>
        <w:rPr>
          <w:rFonts w:ascii="Times New Roman" w:hAnsi="Times New Roman" w:cs="Times New Roman"/>
          <w:color w:val="auto"/>
        </w:rPr>
      </w:pPr>
      <w:r w:rsidRPr="009F0D1D">
        <w:rPr>
          <w:rFonts w:ascii="Times New Roman" w:hAnsi="Times New Roman" w:cs="Times New Roman"/>
        </w:rPr>
        <w:t xml:space="preserve">Les </w:t>
      </w:r>
      <w:r w:rsidR="00180136" w:rsidRPr="009F0D1D">
        <w:rPr>
          <w:rFonts w:ascii="Times New Roman" w:hAnsi="Times New Roman" w:cs="Times New Roman"/>
        </w:rPr>
        <w:t>C</w:t>
      </w:r>
      <w:r w:rsidRPr="009F0D1D">
        <w:rPr>
          <w:rFonts w:ascii="Times New Roman" w:hAnsi="Times New Roman" w:cs="Times New Roman"/>
        </w:rPr>
        <w:t>onsultants</w:t>
      </w:r>
      <w:r w:rsidR="00180136" w:rsidRPr="009F0D1D">
        <w:rPr>
          <w:rFonts w:ascii="Times New Roman" w:hAnsi="Times New Roman" w:cs="Times New Roman"/>
        </w:rPr>
        <w:t xml:space="preserve"> (Firmes)</w:t>
      </w:r>
      <w:r w:rsidRPr="009F0D1D">
        <w:rPr>
          <w:rFonts w:ascii="Times New Roman" w:hAnsi="Times New Roman" w:cs="Times New Roman"/>
        </w:rPr>
        <w:t xml:space="preserve"> intéressés peuvent obtenir des informations supplémentaires</w:t>
      </w:r>
      <w:r w:rsidR="00180136" w:rsidRPr="009F0D1D">
        <w:rPr>
          <w:rFonts w:ascii="Times New Roman" w:hAnsi="Times New Roman" w:cs="Times New Roman"/>
        </w:rPr>
        <w:t>,</w:t>
      </w:r>
      <w:r w:rsidRPr="009F0D1D">
        <w:rPr>
          <w:rFonts w:ascii="Times New Roman" w:hAnsi="Times New Roman" w:cs="Times New Roman"/>
        </w:rPr>
        <w:t xml:space="preserve"> </w:t>
      </w:r>
      <w:r w:rsidR="00AC1FE2" w:rsidRPr="009F0D1D">
        <w:rPr>
          <w:rFonts w:ascii="Times New Roman" w:hAnsi="Times New Roman" w:cs="Times New Roman"/>
        </w:rPr>
        <w:t xml:space="preserve">à </w:t>
      </w:r>
      <w:r w:rsidRPr="009F0D1D">
        <w:rPr>
          <w:rFonts w:ascii="Times New Roman" w:hAnsi="Times New Roman" w:cs="Times New Roman"/>
        </w:rPr>
        <w:t xml:space="preserve">l'adresse </w:t>
      </w:r>
      <w:r w:rsidRPr="009F0D1D">
        <w:rPr>
          <w:rFonts w:ascii="Times New Roman" w:hAnsi="Times New Roman" w:cs="Times New Roman"/>
          <w:color w:val="auto"/>
        </w:rPr>
        <w:t>mentionnée</w:t>
      </w:r>
      <w:r w:rsidRPr="009F0D1D">
        <w:rPr>
          <w:rFonts w:ascii="Times New Roman" w:hAnsi="Times New Roman" w:cs="Times New Roman"/>
        </w:rPr>
        <w:t xml:space="preserve"> ci-dessous</w:t>
      </w:r>
      <w:r w:rsidR="00952512" w:rsidRPr="009F0D1D">
        <w:rPr>
          <w:rFonts w:ascii="Times New Roman" w:hAnsi="Times New Roman" w:cs="Times New Roman"/>
        </w:rPr>
        <w:t>,</w:t>
      </w:r>
      <w:r w:rsidRPr="009F0D1D">
        <w:rPr>
          <w:rFonts w:ascii="Times New Roman" w:hAnsi="Times New Roman" w:cs="Times New Roman"/>
        </w:rPr>
        <w:t xml:space="preserve"> aux heures d’ouverture de bureaux suivantes : </w:t>
      </w:r>
      <w:r w:rsidRPr="009F0D1D">
        <w:rPr>
          <w:rFonts w:ascii="Times New Roman" w:hAnsi="Times New Roman" w:cs="Times New Roman"/>
          <w:color w:val="auto"/>
        </w:rPr>
        <w:t>08h 30 à 1</w:t>
      </w:r>
      <w:r w:rsidR="000F055D" w:rsidRPr="009F0D1D">
        <w:rPr>
          <w:rFonts w:ascii="Times New Roman" w:hAnsi="Times New Roman" w:cs="Times New Roman"/>
          <w:color w:val="auto"/>
        </w:rPr>
        <w:t>7</w:t>
      </w:r>
      <w:r w:rsidRPr="009F0D1D">
        <w:rPr>
          <w:rFonts w:ascii="Times New Roman" w:hAnsi="Times New Roman" w:cs="Times New Roman"/>
          <w:color w:val="auto"/>
        </w:rPr>
        <w:t xml:space="preserve"> h </w:t>
      </w:r>
      <w:r w:rsidR="000F055D" w:rsidRPr="009F0D1D">
        <w:rPr>
          <w:rFonts w:ascii="Times New Roman" w:hAnsi="Times New Roman" w:cs="Times New Roman"/>
          <w:color w:val="auto"/>
        </w:rPr>
        <w:t>0</w:t>
      </w:r>
      <w:r w:rsidRPr="009F0D1D">
        <w:rPr>
          <w:rFonts w:ascii="Times New Roman" w:hAnsi="Times New Roman" w:cs="Times New Roman"/>
          <w:color w:val="auto"/>
        </w:rPr>
        <w:t xml:space="preserve">0 du lundi au vendredi (Heure locale soit GMT). </w:t>
      </w:r>
    </w:p>
    <w:p w14:paraId="23931BFE" w14:textId="77777777" w:rsidR="00180136" w:rsidRPr="009F0D1D" w:rsidRDefault="00180136" w:rsidP="003D0267">
      <w:pPr>
        <w:pStyle w:val="Default"/>
        <w:ind w:right="827"/>
        <w:jc w:val="both"/>
        <w:rPr>
          <w:rFonts w:ascii="Times New Roman" w:hAnsi="Times New Roman" w:cs="Times New Roman"/>
          <w:color w:val="auto"/>
        </w:rPr>
      </w:pPr>
    </w:p>
    <w:p w14:paraId="7844F455" w14:textId="448D75B7" w:rsidR="00520C65" w:rsidRPr="009F0D1D" w:rsidRDefault="00520C65" w:rsidP="00E05C14">
      <w:pPr>
        <w:pStyle w:val="Default"/>
        <w:numPr>
          <w:ilvl w:val="0"/>
          <w:numId w:val="9"/>
        </w:numPr>
        <w:jc w:val="both"/>
        <w:rPr>
          <w:rFonts w:ascii="Times New Roman" w:hAnsi="Times New Roman" w:cs="Times New Roman"/>
        </w:rPr>
      </w:pPr>
      <w:r w:rsidRPr="009F0D1D">
        <w:rPr>
          <w:rFonts w:ascii="Times New Roman" w:hAnsi="Times New Roman" w:cs="Times New Roman"/>
        </w:rPr>
        <w:t xml:space="preserve">Les dossiers de manifestations d’intérêt doivent être rédigés en Français et </w:t>
      </w:r>
      <w:r w:rsidR="00180136" w:rsidRPr="009F0D1D">
        <w:rPr>
          <w:rFonts w:ascii="Times New Roman" w:hAnsi="Times New Roman" w:cs="Times New Roman"/>
        </w:rPr>
        <w:t xml:space="preserve">déposés ou </w:t>
      </w:r>
      <w:r w:rsidRPr="009F0D1D">
        <w:rPr>
          <w:rFonts w:ascii="Times New Roman" w:hAnsi="Times New Roman" w:cs="Times New Roman"/>
        </w:rPr>
        <w:t>envoyés par courriel en version PDF à l’adresse</w:t>
      </w:r>
      <w:r w:rsidR="00C1202C" w:rsidRPr="009F0D1D">
        <w:rPr>
          <w:rFonts w:ascii="Times New Roman" w:hAnsi="Times New Roman" w:cs="Times New Roman"/>
        </w:rPr>
        <w:t xml:space="preserve"> </w:t>
      </w:r>
      <w:r w:rsidR="00180136" w:rsidRPr="009F0D1D">
        <w:rPr>
          <w:rFonts w:ascii="Times New Roman" w:hAnsi="Times New Roman" w:cs="Times New Roman"/>
        </w:rPr>
        <w:t xml:space="preserve"> </w:t>
      </w:r>
      <w:hyperlink r:id="rId11" w:history="1"/>
      <w:r w:rsidR="00180136" w:rsidRPr="009F0D1D">
        <w:rPr>
          <w:rFonts w:ascii="Times New Roman" w:hAnsi="Times New Roman" w:cs="Times New Roman"/>
        </w:rPr>
        <w:t xml:space="preserve"> mentionnée ci-dessous </w:t>
      </w:r>
      <w:r w:rsidRPr="009F0D1D">
        <w:rPr>
          <w:rFonts w:ascii="Times New Roman" w:hAnsi="Times New Roman" w:cs="Times New Roman"/>
        </w:rPr>
        <w:t>au plus tard le</w:t>
      </w:r>
      <w:r w:rsidR="003F3B88" w:rsidRPr="009F0D1D">
        <w:rPr>
          <w:rFonts w:ascii="Times New Roman" w:hAnsi="Times New Roman" w:cs="Times New Roman"/>
          <w:b/>
          <w:bCs/>
        </w:rPr>
        <w:t xml:space="preserve"> 0</w:t>
      </w:r>
      <w:r w:rsidR="005F000A">
        <w:rPr>
          <w:rFonts w:ascii="Times New Roman" w:hAnsi="Times New Roman" w:cs="Times New Roman"/>
          <w:b/>
          <w:bCs/>
        </w:rPr>
        <w:t>7</w:t>
      </w:r>
      <w:r w:rsidR="00240A3B" w:rsidRPr="009F0D1D">
        <w:rPr>
          <w:rFonts w:ascii="Times New Roman" w:hAnsi="Times New Roman" w:cs="Times New Roman"/>
          <w:b/>
          <w:bCs/>
        </w:rPr>
        <w:t>/</w:t>
      </w:r>
      <w:r w:rsidR="003F3B88" w:rsidRPr="009F0D1D">
        <w:rPr>
          <w:rFonts w:ascii="Times New Roman" w:hAnsi="Times New Roman" w:cs="Times New Roman"/>
          <w:b/>
          <w:bCs/>
        </w:rPr>
        <w:t>0</w:t>
      </w:r>
      <w:r w:rsidR="005F000A">
        <w:rPr>
          <w:rFonts w:ascii="Times New Roman" w:hAnsi="Times New Roman" w:cs="Times New Roman"/>
          <w:b/>
          <w:bCs/>
        </w:rPr>
        <w:t>7</w:t>
      </w:r>
      <w:r w:rsidR="003F3B88" w:rsidRPr="009F0D1D">
        <w:rPr>
          <w:rFonts w:ascii="Times New Roman" w:hAnsi="Times New Roman" w:cs="Times New Roman"/>
          <w:b/>
          <w:bCs/>
        </w:rPr>
        <w:t>/</w:t>
      </w:r>
      <w:r w:rsidR="005F000A" w:rsidRPr="009F0D1D">
        <w:rPr>
          <w:rFonts w:ascii="Times New Roman" w:hAnsi="Times New Roman" w:cs="Times New Roman"/>
          <w:b/>
          <w:bCs/>
        </w:rPr>
        <w:t>202</w:t>
      </w:r>
      <w:r w:rsidR="005F000A">
        <w:rPr>
          <w:rFonts w:ascii="Times New Roman" w:hAnsi="Times New Roman" w:cs="Times New Roman"/>
          <w:b/>
          <w:bCs/>
        </w:rPr>
        <w:t>6</w:t>
      </w:r>
      <w:r w:rsidR="005F000A" w:rsidRPr="009F0D1D">
        <w:rPr>
          <w:rFonts w:ascii="Times New Roman" w:hAnsi="Times New Roman" w:cs="Times New Roman"/>
          <w:b/>
          <w:bCs/>
        </w:rPr>
        <w:t xml:space="preserve"> </w:t>
      </w:r>
      <w:r w:rsidRPr="009F0D1D">
        <w:rPr>
          <w:rFonts w:ascii="Times New Roman" w:hAnsi="Times New Roman" w:cs="Times New Roman"/>
          <w:b/>
          <w:bCs/>
        </w:rPr>
        <w:t xml:space="preserve">à </w:t>
      </w:r>
      <w:r w:rsidR="00AD4392">
        <w:rPr>
          <w:rFonts w:ascii="Times New Roman" w:hAnsi="Times New Roman" w:cs="Times New Roman"/>
          <w:b/>
          <w:bCs/>
        </w:rPr>
        <w:t>10</w:t>
      </w:r>
      <w:r w:rsidRPr="009F0D1D">
        <w:rPr>
          <w:rFonts w:ascii="Times New Roman" w:hAnsi="Times New Roman" w:cs="Times New Roman"/>
          <w:b/>
          <w:bCs/>
        </w:rPr>
        <w:t>Hh30 (heure locale)</w:t>
      </w:r>
      <w:r w:rsidRPr="009F0D1D">
        <w:rPr>
          <w:rFonts w:ascii="Times New Roman" w:hAnsi="Times New Roman" w:cs="Times New Roman"/>
        </w:rPr>
        <w:t xml:space="preserve"> et porter expressément la mention </w:t>
      </w:r>
      <w:r w:rsidRPr="009F0D1D">
        <w:rPr>
          <w:rFonts w:ascii="Times New Roman" w:hAnsi="Times New Roman" w:cs="Times New Roman"/>
          <w:b/>
          <w:bCs/>
        </w:rPr>
        <w:t>« </w:t>
      </w:r>
      <w:bookmarkStart w:id="5" w:name="_Hlk121987918"/>
      <w:r w:rsidRPr="009F0D1D">
        <w:rPr>
          <w:rFonts w:ascii="Times New Roman" w:hAnsi="Times New Roman" w:cs="Times New Roman"/>
          <w:b/>
          <w:bCs/>
        </w:rPr>
        <w:t xml:space="preserve">manifestation </w:t>
      </w:r>
      <w:r w:rsidR="00201ABB" w:rsidRPr="009F0D1D">
        <w:rPr>
          <w:rFonts w:ascii="Times New Roman" w:hAnsi="Times New Roman" w:cs="Times New Roman"/>
          <w:b/>
          <w:bCs/>
        </w:rPr>
        <w:t>d’intérêt relatif à la sélection</w:t>
      </w:r>
      <w:r w:rsidRPr="009F0D1D">
        <w:rPr>
          <w:rFonts w:ascii="Times New Roman" w:hAnsi="Times New Roman" w:cs="Times New Roman"/>
          <w:b/>
          <w:bCs/>
        </w:rPr>
        <w:t xml:space="preserve"> d</w:t>
      </w:r>
      <w:r w:rsidR="00C1202C" w:rsidRPr="009F0D1D">
        <w:rPr>
          <w:rFonts w:ascii="Times New Roman" w:hAnsi="Times New Roman" w:cs="Times New Roman"/>
          <w:b/>
          <w:bCs/>
        </w:rPr>
        <w:t>e</w:t>
      </w:r>
      <w:r w:rsidRPr="009F0D1D">
        <w:rPr>
          <w:rFonts w:ascii="Times New Roman" w:hAnsi="Times New Roman" w:cs="Times New Roman"/>
          <w:b/>
          <w:bCs/>
        </w:rPr>
        <w:t xml:space="preserve"> consultant</w:t>
      </w:r>
      <w:r w:rsidR="00C1202C" w:rsidRPr="009F0D1D">
        <w:rPr>
          <w:rFonts w:ascii="Times New Roman" w:hAnsi="Times New Roman" w:cs="Times New Roman"/>
          <w:b/>
          <w:bCs/>
        </w:rPr>
        <w:t>s</w:t>
      </w:r>
      <w:r w:rsidRPr="009F0D1D">
        <w:rPr>
          <w:rFonts w:ascii="Times New Roman" w:hAnsi="Times New Roman" w:cs="Times New Roman"/>
          <w:b/>
          <w:bCs/>
        </w:rPr>
        <w:t xml:space="preserve"> pour la réalisation </w:t>
      </w:r>
      <w:bookmarkEnd w:id="5"/>
      <w:r w:rsidR="000F055D" w:rsidRPr="009F0D1D">
        <w:rPr>
          <w:rFonts w:ascii="Times New Roman" w:hAnsi="Times New Roman" w:cs="Times New Roman"/>
          <w:b/>
          <w:bCs/>
        </w:rPr>
        <w:t>des études</w:t>
      </w:r>
      <w:r w:rsidR="00E262C1" w:rsidRPr="009F0D1D">
        <w:rPr>
          <w:rFonts w:ascii="Times New Roman" w:hAnsi="Times New Roman" w:cs="Times New Roman"/>
        </w:rPr>
        <w:t xml:space="preserve"> </w:t>
      </w:r>
      <w:bookmarkStart w:id="6" w:name="_Hlk150418189"/>
      <w:r w:rsidR="00E262C1" w:rsidRPr="009F0D1D">
        <w:rPr>
          <w:rFonts w:ascii="Times New Roman" w:hAnsi="Times New Roman" w:cs="Times New Roman"/>
        </w:rPr>
        <w:t xml:space="preserve">techniques </w:t>
      </w:r>
      <w:bookmarkEnd w:id="6"/>
      <w:r w:rsidR="00640234" w:rsidRPr="009F0D1D">
        <w:rPr>
          <w:rFonts w:ascii="Times New Roman" w:hAnsi="Times New Roman" w:cs="Times New Roman"/>
        </w:rPr>
        <w:t>routières de 2 268 km</w:t>
      </w:r>
      <w:r w:rsidR="00021E9D" w:rsidRPr="009F0D1D">
        <w:rPr>
          <w:rFonts w:ascii="Times New Roman" w:hAnsi="Times New Roman" w:cs="Times New Roman"/>
        </w:rPr>
        <w:t xml:space="preserve">, </w:t>
      </w:r>
      <w:r w:rsidR="00A92801" w:rsidRPr="009F0D1D">
        <w:rPr>
          <w:rFonts w:ascii="Times New Roman" w:hAnsi="Times New Roman" w:cs="Times New Roman"/>
          <w:b/>
          <w:bCs/>
        </w:rPr>
        <w:t xml:space="preserve">ZONE </w:t>
      </w:r>
      <w:r w:rsidR="00574D1E" w:rsidRPr="009F0D1D">
        <w:rPr>
          <w:rFonts w:ascii="Times New Roman" w:hAnsi="Times New Roman" w:cs="Times New Roman"/>
          <w:b/>
          <w:bCs/>
        </w:rPr>
        <w:t>N°.</w:t>
      </w:r>
      <w:r w:rsidR="00574D1E" w:rsidRPr="009F0D1D">
        <w:rPr>
          <w:rFonts w:ascii="Times New Roman" w:hAnsi="Times New Roman" w:cs="Times New Roman"/>
        </w:rPr>
        <w:t> »</w:t>
      </w:r>
      <w:r w:rsidR="00021E9D" w:rsidRPr="009F0D1D">
        <w:rPr>
          <w:rFonts w:ascii="Times New Roman" w:hAnsi="Times New Roman" w:cs="Times New Roman"/>
        </w:rPr>
        <w:t>,</w:t>
      </w:r>
      <w:r w:rsidR="00952512" w:rsidRPr="009F0D1D">
        <w:rPr>
          <w:rFonts w:ascii="Times New Roman" w:hAnsi="Times New Roman" w:cs="Times New Roman"/>
        </w:rPr>
        <w:t xml:space="preserve"> </w:t>
      </w:r>
      <w:r w:rsidR="00952512" w:rsidRPr="009F0D1D">
        <w:rPr>
          <w:rFonts w:ascii="Times New Roman" w:hAnsi="Times New Roman" w:cs="Times New Roman"/>
          <w:b/>
          <w:bCs/>
        </w:rPr>
        <w:t xml:space="preserve">avec la précision </w:t>
      </w:r>
      <w:r w:rsidR="0036252F" w:rsidRPr="009F0D1D">
        <w:rPr>
          <w:rFonts w:ascii="Times New Roman" w:hAnsi="Times New Roman" w:cs="Times New Roman"/>
          <w:b/>
          <w:bCs/>
        </w:rPr>
        <w:t xml:space="preserve">obligatoire </w:t>
      </w:r>
      <w:r w:rsidR="00A40A09" w:rsidRPr="009F0D1D">
        <w:rPr>
          <w:rFonts w:ascii="Times New Roman" w:hAnsi="Times New Roman" w:cs="Times New Roman"/>
          <w:b/>
          <w:bCs/>
        </w:rPr>
        <w:t xml:space="preserve">De la zone </w:t>
      </w:r>
      <w:r w:rsidR="00952512" w:rsidRPr="009F0D1D">
        <w:rPr>
          <w:rFonts w:ascii="Times New Roman" w:hAnsi="Times New Roman" w:cs="Times New Roman"/>
          <w:b/>
          <w:bCs/>
        </w:rPr>
        <w:t xml:space="preserve">ou des </w:t>
      </w:r>
      <w:r w:rsidR="00A40A09" w:rsidRPr="009F0D1D">
        <w:rPr>
          <w:rFonts w:ascii="Times New Roman" w:hAnsi="Times New Roman" w:cs="Times New Roman"/>
          <w:b/>
          <w:bCs/>
        </w:rPr>
        <w:t xml:space="preserve">zones </w:t>
      </w:r>
      <w:r w:rsidR="00952512" w:rsidRPr="009F0D1D">
        <w:rPr>
          <w:rFonts w:ascii="Times New Roman" w:hAnsi="Times New Roman" w:cs="Times New Roman"/>
          <w:b/>
          <w:bCs/>
        </w:rPr>
        <w:t>visé</w:t>
      </w:r>
      <w:r w:rsidR="00A40A09" w:rsidRPr="009F0D1D">
        <w:rPr>
          <w:rFonts w:ascii="Times New Roman" w:hAnsi="Times New Roman" w:cs="Times New Roman"/>
          <w:b/>
          <w:bCs/>
        </w:rPr>
        <w:t>e</w:t>
      </w:r>
      <w:r w:rsidR="00952512" w:rsidRPr="009F0D1D">
        <w:rPr>
          <w:rFonts w:ascii="Times New Roman" w:hAnsi="Times New Roman" w:cs="Times New Roman"/>
          <w:b/>
          <w:bCs/>
        </w:rPr>
        <w:t>s</w:t>
      </w:r>
      <w:r w:rsidR="0036252F" w:rsidRPr="009F0D1D">
        <w:rPr>
          <w:rFonts w:ascii="Times New Roman" w:hAnsi="Times New Roman" w:cs="Times New Roman"/>
        </w:rPr>
        <w:t> »</w:t>
      </w:r>
      <w:r w:rsidR="0013325F" w:rsidRPr="009F0D1D">
        <w:rPr>
          <w:rFonts w:ascii="Times New Roman" w:hAnsi="Times New Roman" w:cs="Times New Roman"/>
        </w:rPr>
        <w:t>.</w:t>
      </w:r>
    </w:p>
    <w:p w14:paraId="6997C6D0" w14:textId="77777777" w:rsidR="00180136" w:rsidRPr="009F0D1D" w:rsidRDefault="00180136" w:rsidP="003D0267">
      <w:pPr>
        <w:spacing w:after="240"/>
        <w:ind w:right="827"/>
        <w:jc w:val="both"/>
        <w:rPr>
          <w:color w:val="000000"/>
          <w:sz w:val="24"/>
          <w:szCs w:val="24"/>
        </w:rPr>
      </w:pPr>
    </w:p>
    <w:p w14:paraId="42B6DE11" w14:textId="018D787D" w:rsidR="00180136" w:rsidRPr="009F0D1D" w:rsidRDefault="00180136" w:rsidP="003D0267">
      <w:pPr>
        <w:spacing w:after="240"/>
        <w:ind w:right="827"/>
        <w:jc w:val="both"/>
        <w:rPr>
          <w:rFonts w:eastAsia="Calibri"/>
          <w:b/>
          <w:bCs/>
          <w:sz w:val="24"/>
          <w:szCs w:val="24"/>
        </w:rPr>
      </w:pPr>
      <w:r w:rsidRPr="009F0D1D">
        <w:rPr>
          <w:rFonts w:eastAsia="Calibri"/>
          <w:b/>
          <w:bCs/>
          <w:sz w:val="24"/>
          <w:szCs w:val="24"/>
        </w:rPr>
        <w:t>L’adresse à laquelle il est fait référence ci-dessus est :</w:t>
      </w:r>
    </w:p>
    <w:p w14:paraId="4E1E1A3F" w14:textId="77777777" w:rsidR="00180136" w:rsidRPr="009F0D1D" w:rsidRDefault="00180136" w:rsidP="00180136">
      <w:pPr>
        <w:autoSpaceDE w:val="0"/>
        <w:autoSpaceDN w:val="0"/>
        <w:adjustRightInd w:val="0"/>
        <w:jc w:val="both"/>
        <w:rPr>
          <w:b/>
          <w:sz w:val="24"/>
          <w:szCs w:val="24"/>
        </w:rPr>
      </w:pPr>
      <w:r w:rsidRPr="009F0D1D">
        <w:rPr>
          <w:b/>
          <w:sz w:val="24"/>
          <w:szCs w:val="24"/>
        </w:rPr>
        <w:t xml:space="preserve">Ministère des Infrastructures </w:t>
      </w:r>
    </w:p>
    <w:p w14:paraId="73E1B5C1" w14:textId="77777777" w:rsidR="00180136" w:rsidRPr="009F0D1D" w:rsidRDefault="00180136" w:rsidP="00180136">
      <w:pPr>
        <w:rPr>
          <w:b/>
          <w:sz w:val="24"/>
          <w:szCs w:val="24"/>
        </w:rPr>
      </w:pPr>
      <w:r w:rsidRPr="009F0D1D">
        <w:rPr>
          <w:b/>
          <w:sz w:val="24"/>
          <w:szCs w:val="24"/>
        </w:rPr>
        <w:t>Agence de Gestion des Routes (AGEROUTES SA)</w:t>
      </w:r>
    </w:p>
    <w:p w14:paraId="3506A945" w14:textId="77777777" w:rsidR="00180136" w:rsidRPr="009F0D1D" w:rsidRDefault="00180136" w:rsidP="00180136">
      <w:pPr>
        <w:rPr>
          <w:b/>
          <w:sz w:val="24"/>
          <w:szCs w:val="24"/>
        </w:rPr>
      </w:pPr>
      <w:r w:rsidRPr="009F0D1D">
        <w:rPr>
          <w:b/>
          <w:sz w:val="24"/>
          <w:szCs w:val="24"/>
        </w:rPr>
        <w:t>Unité de Gestion des Projets Transports (UGP-BAD)</w:t>
      </w:r>
    </w:p>
    <w:p w14:paraId="5B989528" w14:textId="77777777" w:rsidR="00180136" w:rsidRPr="009F0D1D" w:rsidRDefault="00180136" w:rsidP="00180136">
      <w:pPr>
        <w:ind w:right="827"/>
        <w:jc w:val="both"/>
        <w:rPr>
          <w:b/>
          <w:sz w:val="24"/>
          <w:szCs w:val="24"/>
        </w:rPr>
      </w:pPr>
      <w:r w:rsidRPr="009F0D1D">
        <w:rPr>
          <w:b/>
          <w:sz w:val="24"/>
          <w:szCs w:val="24"/>
        </w:rPr>
        <w:t>Sis à l’immeuble MISS POKOU, Appartement 7A et 7B, Quartier Téminètaye, Commune de Kaloum, Conakry, République de Guinée.</w:t>
      </w:r>
    </w:p>
    <w:p w14:paraId="079EF840" w14:textId="77777777" w:rsidR="00180136" w:rsidRPr="009F0D1D" w:rsidRDefault="00180136" w:rsidP="00180136">
      <w:pPr>
        <w:rPr>
          <w:b/>
          <w:sz w:val="24"/>
          <w:szCs w:val="24"/>
        </w:rPr>
      </w:pPr>
      <w:r w:rsidRPr="009F0D1D">
        <w:rPr>
          <w:b/>
          <w:sz w:val="24"/>
          <w:szCs w:val="24"/>
        </w:rPr>
        <w:t>E-mail :</w:t>
      </w:r>
      <w:r w:rsidRPr="009F0D1D">
        <w:rPr>
          <w:b/>
          <w:bCs/>
          <w:color w:val="4F81BD" w:themeColor="accent1"/>
          <w:sz w:val="24"/>
          <w:szCs w:val="24"/>
        </w:rPr>
        <w:t xml:space="preserve"> </w:t>
      </w:r>
      <w:hyperlink r:id="rId12" w:history="1">
        <w:r w:rsidRPr="009F0D1D">
          <w:rPr>
            <w:rStyle w:val="Lienhypertexte"/>
            <w:sz w:val="24"/>
            <w:szCs w:val="24"/>
          </w:rPr>
          <w:t>amara.diabate@ageroute.gov.gn</w:t>
        </w:r>
      </w:hyperlink>
      <w:r w:rsidRPr="009F0D1D">
        <w:rPr>
          <w:sz w:val="24"/>
          <w:szCs w:val="24"/>
        </w:rPr>
        <w:t xml:space="preserve">  </w:t>
      </w:r>
      <w:r w:rsidRPr="009F0D1D">
        <w:rPr>
          <w:b/>
          <w:sz w:val="24"/>
          <w:szCs w:val="24"/>
        </w:rPr>
        <w:t xml:space="preserve">et </w:t>
      </w:r>
      <w:hyperlink r:id="rId13" w:history="1">
        <w:r w:rsidRPr="009F0D1D">
          <w:rPr>
            <w:rStyle w:val="Lienhypertexte"/>
            <w:sz w:val="24"/>
            <w:szCs w:val="24"/>
          </w:rPr>
          <w:t>tamim-dar.sylla@ageroute.gov.gn</w:t>
        </w:r>
      </w:hyperlink>
      <w:r w:rsidRPr="009F0D1D">
        <w:rPr>
          <w:sz w:val="24"/>
          <w:szCs w:val="24"/>
        </w:rPr>
        <w:t xml:space="preserve"> </w:t>
      </w:r>
    </w:p>
    <w:p w14:paraId="78A6651F" w14:textId="77777777" w:rsidR="00180136" w:rsidRPr="009F0D1D" w:rsidRDefault="00180136" w:rsidP="00180136">
      <w:pPr>
        <w:spacing w:after="240"/>
        <w:rPr>
          <w:rFonts w:eastAsia="Calibri"/>
          <w:b/>
          <w:color w:val="000000"/>
          <w:sz w:val="24"/>
          <w:szCs w:val="24"/>
        </w:rPr>
      </w:pPr>
      <w:r w:rsidRPr="009F0D1D">
        <w:rPr>
          <w:rFonts w:eastAsia="Calibri"/>
          <w:b/>
          <w:sz w:val="24"/>
          <w:szCs w:val="24"/>
        </w:rPr>
        <w:t xml:space="preserve">Tél : </w:t>
      </w:r>
      <w:r w:rsidRPr="009F0D1D">
        <w:rPr>
          <w:rFonts w:eastAsia="Calibri"/>
          <w:b/>
          <w:color w:val="000000"/>
          <w:sz w:val="24"/>
          <w:szCs w:val="24"/>
        </w:rPr>
        <w:t>(+224) 628 68 77 37/624 63 19 53</w:t>
      </w:r>
    </w:p>
    <w:p w14:paraId="7230AFDA" w14:textId="77777777" w:rsidR="00180136" w:rsidRPr="009F0D1D" w:rsidRDefault="00180136" w:rsidP="003D0267">
      <w:pPr>
        <w:spacing w:after="240"/>
        <w:ind w:right="827"/>
        <w:jc w:val="both"/>
        <w:rPr>
          <w:rFonts w:eastAsia="Calibri"/>
          <w:b/>
          <w:bCs/>
          <w:sz w:val="24"/>
          <w:szCs w:val="24"/>
        </w:rPr>
      </w:pPr>
    </w:p>
    <w:p w14:paraId="2640E5A7" w14:textId="68CCA46D" w:rsidR="00520C65" w:rsidRPr="009F0D1D" w:rsidRDefault="54B532E5" w:rsidP="003D0267">
      <w:pPr>
        <w:ind w:right="827"/>
        <w:jc w:val="right"/>
        <w:rPr>
          <w:sz w:val="24"/>
          <w:szCs w:val="24"/>
        </w:rPr>
      </w:pPr>
      <w:r w:rsidRPr="009F0D1D">
        <w:rPr>
          <w:sz w:val="24"/>
          <w:szCs w:val="24"/>
        </w:rPr>
        <w:t xml:space="preserve">                                       Conakry, le </w:t>
      </w:r>
      <w:r w:rsidR="005F000A">
        <w:rPr>
          <w:sz w:val="24"/>
          <w:szCs w:val="24"/>
        </w:rPr>
        <w:t>0</w:t>
      </w:r>
      <w:r w:rsidR="005F000A">
        <w:rPr>
          <w:sz w:val="24"/>
          <w:szCs w:val="24"/>
        </w:rPr>
        <w:t>4</w:t>
      </w:r>
      <w:r w:rsidRPr="009F0D1D">
        <w:rPr>
          <w:sz w:val="24"/>
          <w:szCs w:val="24"/>
        </w:rPr>
        <w:t>/</w:t>
      </w:r>
      <w:r w:rsidR="005F000A" w:rsidRPr="009F0D1D">
        <w:rPr>
          <w:sz w:val="24"/>
          <w:szCs w:val="24"/>
        </w:rPr>
        <w:t>0</w:t>
      </w:r>
      <w:r w:rsidR="005F000A">
        <w:rPr>
          <w:sz w:val="24"/>
          <w:szCs w:val="24"/>
        </w:rPr>
        <w:t>6</w:t>
      </w:r>
      <w:r w:rsidRPr="009F0D1D">
        <w:rPr>
          <w:sz w:val="24"/>
          <w:szCs w:val="24"/>
        </w:rPr>
        <w:t>/</w:t>
      </w:r>
      <w:r w:rsidR="00A17779" w:rsidRPr="009F0D1D">
        <w:rPr>
          <w:sz w:val="24"/>
          <w:szCs w:val="24"/>
        </w:rPr>
        <w:t>2026</w:t>
      </w:r>
    </w:p>
    <w:p w14:paraId="37C0A102" w14:textId="77777777" w:rsidR="00FD1F83" w:rsidRPr="009F0D1D" w:rsidRDefault="00FD1F83" w:rsidP="00BB59D4">
      <w:pPr>
        <w:jc w:val="right"/>
        <w:rPr>
          <w:bCs/>
          <w:sz w:val="24"/>
          <w:szCs w:val="24"/>
        </w:rPr>
      </w:pPr>
    </w:p>
    <w:p w14:paraId="276D3BBE" w14:textId="77777777" w:rsidR="00C1202C" w:rsidRPr="009F0D1D" w:rsidRDefault="00520C65" w:rsidP="00AC6BC3">
      <w:pPr>
        <w:jc w:val="right"/>
        <w:rPr>
          <w:b/>
          <w:sz w:val="24"/>
          <w:szCs w:val="24"/>
        </w:rPr>
      </w:pPr>
      <w:r w:rsidRPr="009F0D1D">
        <w:rPr>
          <w:b/>
          <w:sz w:val="24"/>
          <w:szCs w:val="24"/>
        </w:rPr>
        <w:t xml:space="preserve">                                                                                                     </w:t>
      </w:r>
    </w:p>
    <w:p w14:paraId="0C788172" w14:textId="573661C6" w:rsidR="00520C65" w:rsidRPr="009F0D1D" w:rsidRDefault="00520C65" w:rsidP="003D0267">
      <w:pPr>
        <w:ind w:right="827"/>
        <w:jc w:val="right"/>
        <w:rPr>
          <w:b/>
          <w:sz w:val="24"/>
          <w:szCs w:val="24"/>
        </w:rPr>
      </w:pPr>
      <w:r w:rsidRPr="009F0D1D">
        <w:rPr>
          <w:b/>
          <w:sz w:val="24"/>
          <w:szCs w:val="24"/>
        </w:rPr>
        <w:t xml:space="preserve">Le </w:t>
      </w:r>
      <w:r w:rsidR="00AD4392">
        <w:rPr>
          <w:b/>
          <w:sz w:val="24"/>
          <w:szCs w:val="24"/>
        </w:rPr>
        <w:t>Directeur Général de l’AGEROUTE GUINEE S.A</w:t>
      </w:r>
    </w:p>
    <w:p w14:paraId="3B53102E" w14:textId="77777777" w:rsidR="005D7B02" w:rsidRPr="009F0D1D" w:rsidRDefault="005D7B02" w:rsidP="00240A3B">
      <w:pPr>
        <w:jc w:val="both"/>
        <w:rPr>
          <w:b/>
          <w:sz w:val="24"/>
          <w:szCs w:val="24"/>
        </w:rPr>
      </w:pPr>
    </w:p>
    <w:p w14:paraId="192A605F" w14:textId="77777777" w:rsidR="00C1202C" w:rsidRPr="009F0D1D" w:rsidRDefault="00C1202C" w:rsidP="00240A3B">
      <w:pPr>
        <w:jc w:val="both"/>
        <w:rPr>
          <w:b/>
          <w:sz w:val="24"/>
          <w:szCs w:val="24"/>
        </w:rPr>
      </w:pPr>
    </w:p>
    <w:p w14:paraId="22FBFC26" w14:textId="77777777" w:rsidR="00C1202C" w:rsidRPr="009F0D1D" w:rsidRDefault="00C1202C" w:rsidP="00240A3B">
      <w:pPr>
        <w:jc w:val="both"/>
        <w:rPr>
          <w:b/>
          <w:sz w:val="24"/>
          <w:szCs w:val="24"/>
        </w:rPr>
      </w:pPr>
    </w:p>
    <w:p w14:paraId="353CC02C" w14:textId="77777777" w:rsidR="00C1202C" w:rsidRPr="009F0D1D" w:rsidRDefault="00C1202C" w:rsidP="00240A3B">
      <w:pPr>
        <w:jc w:val="both"/>
        <w:rPr>
          <w:b/>
          <w:sz w:val="24"/>
          <w:szCs w:val="24"/>
        </w:rPr>
      </w:pPr>
    </w:p>
    <w:p w14:paraId="37BD9C9F" w14:textId="77777777" w:rsidR="00C1202C" w:rsidRPr="009F0D1D" w:rsidRDefault="00C1202C" w:rsidP="00240A3B">
      <w:pPr>
        <w:jc w:val="both"/>
        <w:rPr>
          <w:b/>
          <w:sz w:val="24"/>
          <w:szCs w:val="24"/>
        </w:rPr>
      </w:pPr>
    </w:p>
    <w:p w14:paraId="3133229F" w14:textId="77777777" w:rsidR="00C1202C" w:rsidRPr="009F0D1D" w:rsidRDefault="00C1202C" w:rsidP="00240A3B">
      <w:pPr>
        <w:jc w:val="both"/>
        <w:rPr>
          <w:b/>
          <w:sz w:val="24"/>
          <w:szCs w:val="24"/>
        </w:rPr>
      </w:pPr>
    </w:p>
    <w:p w14:paraId="41729D68" w14:textId="51960A1F" w:rsidR="00520C65" w:rsidRPr="009F0D1D" w:rsidRDefault="00AD4392" w:rsidP="00AD4392">
      <w:pPr>
        <w:ind w:left="6372" w:right="827" w:firstLine="708"/>
        <w:rPr>
          <w:b/>
          <w:sz w:val="24"/>
          <w:szCs w:val="24"/>
          <w:u w:val="single"/>
        </w:rPr>
      </w:pPr>
      <w:r w:rsidRPr="00AD4392">
        <w:rPr>
          <w:b/>
          <w:sz w:val="24"/>
          <w:szCs w:val="24"/>
          <w:u w:val="single"/>
        </w:rPr>
        <w:t>Mo</w:t>
      </w:r>
      <w:r>
        <w:rPr>
          <w:b/>
          <w:sz w:val="24"/>
          <w:szCs w:val="24"/>
          <w:u w:val="single"/>
        </w:rPr>
        <w:t>ï</w:t>
      </w:r>
      <w:r w:rsidRPr="00AD4392">
        <w:rPr>
          <w:b/>
          <w:sz w:val="24"/>
          <w:szCs w:val="24"/>
          <w:u w:val="single"/>
        </w:rPr>
        <w:t>se SIDIBE</w:t>
      </w:r>
    </w:p>
    <w:p w14:paraId="22609B18" w14:textId="77777777" w:rsidR="00B51C43" w:rsidRPr="009F0D1D" w:rsidRDefault="00B51C43" w:rsidP="003406CF">
      <w:pPr>
        <w:rPr>
          <w:b/>
          <w:sz w:val="24"/>
          <w:szCs w:val="24"/>
          <w:u w:val="single"/>
        </w:rPr>
      </w:pPr>
      <w:bookmarkStart w:id="7" w:name="m_-1057021631526931888__Toc485642769"/>
      <w:bookmarkEnd w:id="7"/>
    </w:p>
    <w:p w14:paraId="63A5ACF0" w14:textId="77777777" w:rsidR="00602231" w:rsidRPr="009F0D1D" w:rsidRDefault="00602231">
      <w:pPr>
        <w:rPr>
          <w:b/>
          <w:sz w:val="24"/>
          <w:szCs w:val="24"/>
          <w:u w:val="single"/>
        </w:rPr>
      </w:pPr>
    </w:p>
    <w:sectPr w:rsidR="00602231" w:rsidRPr="009F0D1D" w:rsidSect="004018DF">
      <w:pgSz w:w="11920" w:h="16840"/>
      <w:pgMar w:top="1701" w:right="580" w:bottom="1135"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C53D7"/>
    <w:multiLevelType w:val="hybridMultilevel"/>
    <w:tmpl w:val="36FA752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5FE2D20"/>
    <w:multiLevelType w:val="hybridMultilevel"/>
    <w:tmpl w:val="DC621A96"/>
    <w:lvl w:ilvl="0" w:tplc="52DAC592">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3C603B2"/>
    <w:multiLevelType w:val="hybridMultilevel"/>
    <w:tmpl w:val="C11CE4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D116D51"/>
    <w:multiLevelType w:val="hybridMultilevel"/>
    <w:tmpl w:val="5708477A"/>
    <w:lvl w:ilvl="0" w:tplc="040C000F">
      <w:start w:val="1"/>
      <w:numFmt w:val="decimal"/>
      <w:lvlText w:val="%1."/>
      <w:lvlJc w:val="left"/>
      <w:pPr>
        <w:tabs>
          <w:tab w:val="num" w:pos="720"/>
        </w:tabs>
        <w:ind w:left="720" w:hanging="360"/>
      </w:pPr>
    </w:lvl>
    <w:lvl w:ilvl="1" w:tplc="81003CAE">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433D4A29"/>
    <w:multiLevelType w:val="multilevel"/>
    <w:tmpl w:val="B26EB18E"/>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5" w15:restartNumberingAfterBreak="0">
    <w:nsid w:val="49CF450E"/>
    <w:multiLevelType w:val="hybridMultilevel"/>
    <w:tmpl w:val="09EC0A6E"/>
    <w:lvl w:ilvl="0" w:tplc="D6E82DD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DF53DAA"/>
    <w:multiLevelType w:val="hybridMultilevel"/>
    <w:tmpl w:val="1DFCBA4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8E61998"/>
    <w:multiLevelType w:val="hybridMultilevel"/>
    <w:tmpl w:val="31D876A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515705"/>
    <w:multiLevelType w:val="hybridMultilevel"/>
    <w:tmpl w:val="D31A1358"/>
    <w:lvl w:ilvl="0" w:tplc="1FD0B4CE">
      <w:start w:val="4"/>
      <w:numFmt w:val="bullet"/>
      <w:lvlText w:val="·"/>
      <w:lvlJc w:val="left"/>
      <w:pPr>
        <w:ind w:left="1080" w:hanging="720"/>
      </w:pPr>
      <w:rPr>
        <w:rFonts w:ascii="Century Gothic" w:eastAsia="Calibri" w:hAnsi="Century Gothic"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67212650">
    <w:abstractNumId w:val="4"/>
  </w:num>
  <w:num w:numId="2" w16cid:durableId="979922144">
    <w:abstractNumId w:val="2"/>
  </w:num>
  <w:num w:numId="3" w16cid:durableId="631323642">
    <w:abstractNumId w:val="8"/>
  </w:num>
  <w:num w:numId="4" w16cid:durableId="344942966">
    <w:abstractNumId w:val="6"/>
  </w:num>
  <w:num w:numId="5" w16cid:durableId="2110733347">
    <w:abstractNumId w:val="1"/>
  </w:num>
  <w:num w:numId="6" w16cid:durableId="96889435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8155661">
    <w:abstractNumId w:val="5"/>
  </w:num>
  <w:num w:numId="8" w16cid:durableId="124154761">
    <w:abstractNumId w:val="0"/>
  </w:num>
  <w:num w:numId="9" w16cid:durableId="564726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D3"/>
    <w:rsid w:val="00000F6D"/>
    <w:rsid w:val="0000262E"/>
    <w:rsid w:val="00005EBC"/>
    <w:rsid w:val="000128C4"/>
    <w:rsid w:val="0001603C"/>
    <w:rsid w:val="000177CF"/>
    <w:rsid w:val="00021E9D"/>
    <w:rsid w:val="00022CC7"/>
    <w:rsid w:val="000242BF"/>
    <w:rsid w:val="00026BD3"/>
    <w:rsid w:val="00037722"/>
    <w:rsid w:val="000434A6"/>
    <w:rsid w:val="00046148"/>
    <w:rsid w:val="0005523F"/>
    <w:rsid w:val="0005622D"/>
    <w:rsid w:val="0008020D"/>
    <w:rsid w:val="000906B7"/>
    <w:rsid w:val="00094824"/>
    <w:rsid w:val="000A1D0E"/>
    <w:rsid w:val="000A4468"/>
    <w:rsid w:val="000B749D"/>
    <w:rsid w:val="000C158E"/>
    <w:rsid w:val="000C598D"/>
    <w:rsid w:val="000D3E09"/>
    <w:rsid w:val="000D5073"/>
    <w:rsid w:val="000D54EE"/>
    <w:rsid w:val="000E1402"/>
    <w:rsid w:val="000E2BBB"/>
    <w:rsid w:val="000E3D18"/>
    <w:rsid w:val="000E441C"/>
    <w:rsid w:val="000F055D"/>
    <w:rsid w:val="000F7655"/>
    <w:rsid w:val="00105886"/>
    <w:rsid w:val="001067FF"/>
    <w:rsid w:val="0011545F"/>
    <w:rsid w:val="001200B6"/>
    <w:rsid w:val="0013015C"/>
    <w:rsid w:val="00132217"/>
    <w:rsid w:val="0013325F"/>
    <w:rsid w:val="00134312"/>
    <w:rsid w:val="0013496B"/>
    <w:rsid w:val="0013702B"/>
    <w:rsid w:val="00143ED8"/>
    <w:rsid w:val="001453E1"/>
    <w:rsid w:val="00152FC4"/>
    <w:rsid w:val="00153991"/>
    <w:rsid w:val="00154322"/>
    <w:rsid w:val="001749CB"/>
    <w:rsid w:val="00174BDF"/>
    <w:rsid w:val="00180136"/>
    <w:rsid w:val="00191009"/>
    <w:rsid w:val="001B32F7"/>
    <w:rsid w:val="001B36D7"/>
    <w:rsid w:val="001C24BF"/>
    <w:rsid w:val="001C6550"/>
    <w:rsid w:val="001C65C5"/>
    <w:rsid w:val="001C6C77"/>
    <w:rsid w:val="001C7183"/>
    <w:rsid w:val="001E33C2"/>
    <w:rsid w:val="001F180D"/>
    <w:rsid w:val="001F671F"/>
    <w:rsid w:val="001F6930"/>
    <w:rsid w:val="00201ABB"/>
    <w:rsid w:val="0020471A"/>
    <w:rsid w:val="00207851"/>
    <w:rsid w:val="00217EFE"/>
    <w:rsid w:val="00221A6C"/>
    <w:rsid w:val="00224979"/>
    <w:rsid w:val="00227605"/>
    <w:rsid w:val="00233C06"/>
    <w:rsid w:val="00234F08"/>
    <w:rsid w:val="00236365"/>
    <w:rsid w:val="002364E3"/>
    <w:rsid w:val="00236570"/>
    <w:rsid w:val="00240A3B"/>
    <w:rsid w:val="0025144D"/>
    <w:rsid w:val="00256FBC"/>
    <w:rsid w:val="00262C30"/>
    <w:rsid w:val="00267C24"/>
    <w:rsid w:val="002827F7"/>
    <w:rsid w:val="00285312"/>
    <w:rsid w:val="00290A38"/>
    <w:rsid w:val="002B0043"/>
    <w:rsid w:val="002B1824"/>
    <w:rsid w:val="002B54E6"/>
    <w:rsid w:val="002B71ED"/>
    <w:rsid w:val="002C17B7"/>
    <w:rsid w:val="002C5234"/>
    <w:rsid w:val="002C5BC5"/>
    <w:rsid w:val="002D6490"/>
    <w:rsid w:val="002E5ED7"/>
    <w:rsid w:val="002F201F"/>
    <w:rsid w:val="002F4F1C"/>
    <w:rsid w:val="00302A0B"/>
    <w:rsid w:val="00305FB9"/>
    <w:rsid w:val="00310A1D"/>
    <w:rsid w:val="00320417"/>
    <w:rsid w:val="00320E80"/>
    <w:rsid w:val="00322789"/>
    <w:rsid w:val="00326C2B"/>
    <w:rsid w:val="003275F1"/>
    <w:rsid w:val="003406CF"/>
    <w:rsid w:val="00344F7E"/>
    <w:rsid w:val="00352AA2"/>
    <w:rsid w:val="00352ED0"/>
    <w:rsid w:val="003568D8"/>
    <w:rsid w:val="003607B5"/>
    <w:rsid w:val="0036252F"/>
    <w:rsid w:val="00376796"/>
    <w:rsid w:val="00380462"/>
    <w:rsid w:val="0038566D"/>
    <w:rsid w:val="0038745B"/>
    <w:rsid w:val="003916E9"/>
    <w:rsid w:val="003969B8"/>
    <w:rsid w:val="003A338E"/>
    <w:rsid w:val="003B3B46"/>
    <w:rsid w:val="003C17FE"/>
    <w:rsid w:val="003C1CE9"/>
    <w:rsid w:val="003D0267"/>
    <w:rsid w:val="003D1AE2"/>
    <w:rsid w:val="003D40B9"/>
    <w:rsid w:val="003D6381"/>
    <w:rsid w:val="003D7053"/>
    <w:rsid w:val="003D7707"/>
    <w:rsid w:val="003E6EB6"/>
    <w:rsid w:val="003F3B88"/>
    <w:rsid w:val="003F4681"/>
    <w:rsid w:val="003F56C0"/>
    <w:rsid w:val="003F5C57"/>
    <w:rsid w:val="004000B5"/>
    <w:rsid w:val="004018DF"/>
    <w:rsid w:val="00401918"/>
    <w:rsid w:val="00402A21"/>
    <w:rsid w:val="00414B51"/>
    <w:rsid w:val="00422E15"/>
    <w:rsid w:val="00424D1B"/>
    <w:rsid w:val="004251BF"/>
    <w:rsid w:val="004307C8"/>
    <w:rsid w:val="00430E40"/>
    <w:rsid w:val="004320C9"/>
    <w:rsid w:val="00437760"/>
    <w:rsid w:val="00445F57"/>
    <w:rsid w:val="00453240"/>
    <w:rsid w:val="004570B5"/>
    <w:rsid w:val="00457155"/>
    <w:rsid w:val="00457B8A"/>
    <w:rsid w:val="00463506"/>
    <w:rsid w:val="00467FE1"/>
    <w:rsid w:val="004708BE"/>
    <w:rsid w:val="00471B78"/>
    <w:rsid w:val="004746B5"/>
    <w:rsid w:val="004751EB"/>
    <w:rsid w:val="004831D0"/>
    <w:rsid w:val="00492800"/>
    <w:rsid w:val="004961C8"/>
    <w:rsid w:val="00496981"/>
    <w:rsid w:val="00496E09"/>
    <w:rsid w:val="0049775D"/>
    <w:rsid w:val="004A2AC4"/>
    <w:rsid w:val="004A3619"/>
    <w:rsid w:val="004A3965"/>
    <w:rsid w:val="004B003E"/>
    <w:rsid w:val="004B2B56"/>
    <w:rsid w:val="004B2E35"/>
    <w:rsid w:val="004B64A4"/>
    <w:rsid w:val="004D7C02"/>
    <w:rsid w:val="004E031C"/>
    <w:rsid w:val="004E7C72"/>
    <w:rsid w:val="004F0465"/>
    <w:rsid w:val="005053D0"/>
    <w:rsid w:val="00505B77"/>
    <w:rsid w:val="00505FCA"/>
    <w:rsid w:val="0051132B"/>
    <w:rsid w:val="0051283B"/>
    <w:rsid w:val="005129F6"/>
    <w:rsid w:val="00520C65"/>
    <w:rsid w:val="005266F9"/>
    <w:rsid w:val="005344A7"/>
    <w:rsid w:val="00535089"/>
    <w:rsid w:val="00541381"/>
    <w:rsid w:val="0055182E"/>
    <w:rsid w:val="00563212"/>
    <w:rsid w:val="00563A3C"/>
    <w:rsid w:val="00564113"/>
    <w:rsid w:val="005679FA"/>
    <w:rsid w:val="00572534"/>
    <w:rsid w:val="00574A6A"/>
    <w:rsid w:val="00574D1E"/>
    <w:rsid w:val="00576EEB"/>
    <w:rsid w:val="00580242"/>
    <w:rsid w:val="00583015"/>
    <w:rsid w:val="00587B3C"/>
    <w:rsid w:val="00587D7F"/>
    <w:rsid w:val="00592DD8"/>
    <w:rsid w:val="00597579"/>
    <w:rsid w:val="00597EFB"/>
    <w:rsid w:val="005A32F2"/>
    <w:rsid w:val="005A5C8A"/>
    <w:rsid w:val="005A7563"/>
    <w:rsid w:val="005C0C61"/>
    <w:rsid w:val="005D227D"/>
    <w:rsid w:val="005D5041"/>
    <w:rsid w:val="005D7B02"/>
    <w:rsid w:val="005E5211"/>
    <w:rsid w:val="005E65FC"/>
    <w:rsid w:val="005F000A"/>
    <w:rsid w:val="00602231"/>
    <w:rsid w:val="00607719"/>
    <w:rsid w:val="00607A23"/>
    <w:rsid w:val="00607B7D"/>
    <w:rsid w:val="00610F46"/>
    <w:rsid w:val="006379B8"/>
    <w:rsid w:val="00640234"/>
    <w:rsid w:val="00650343"/>
    <w:rsid w:val="0065172F"/>
    <w:rsid w:val="00656045"/>
    <w:rsid w:val="006607E8"/>
    <w:rsid w:val="00665E7E"/>
    <w:rsid w:val="00671B8C"/>
    <w:rsid w:val="006776CA"/>
    <w:rsid w:val="00677FB6"/>
    <w:rsid w:val="00677FF3"/>
    <w:rsid w:val="00690737"/>
    <w:rsid w:val="00694064"/>
    <w:rsid w:val="00694D6E"/>
    <w:rsid w:val="006A0C7D"/>
    <w:rsid w:val="006A3B8F"/>
    <w:rsid w:val="006A552F"/>
    <w:rsid w:val="006B0BDF"/>
    <w:rsid w:val="006B3F75"/>
    <w:rsid w:val="006C10F6"/>
    <w:rsid w:val="006C1467"/>
    <w:rsid w:val="006C6A9F"/>
    <w:rsid w:val="006D212B"/>
    <w:rsid w:val="006D7F76"/>
    <w:rsid w:val="006F0ABC"/>
    <w:rsid w:val="006F1D10"/>
    <w:rsid w:val="006F2792"/>
    <w:rsid w:val="006F4F2E"/>
    <w:rsid w:val="006F5F96"/>
    <w:rsid w:val="007053C7"/>
    <w:rsid w:val="00724ACA"/>
    <w:rsid w:val="00730E19"/>
    <w:rsid w:val="007314D1"/>
    <w:rsid w:val="00732561"/>
    <w:rsid w:val="00742B9D"/>
    <w:rsid w:val="00750946"/>
    <w:rsid w:val="00755302"/>
    <w:rsid w:val="0077114D"/>
    <w:rsid w:val="00775404"/>
    <w:rsid w:val="00780601"/>
    <w:rsid w:val="007848AD"/>
    <w:rsid w:val="00785779"/>
    <w:rsid w:val="007C3E35"/>
    <w:rsid w:val="007C5C45"/>
    <w:rsid w:val="007C66A2"/>
    <w:rsid w:val="007D119D"/>
    <w:rsid w:val="007D506D"/>
    <w:rsid w:val="007E26E5"/>
    <w:rsid w:val="007E4A0F"/>
    <w:rsid w:val="007F7F5A"/>
    <w:rsid w:val="008019A7"/>
    <w:rsid w:val="00805B34"/>
    <w:rsid w:val="0080691C"/>
    <w:rsid w:val="008244FB"/>
    <w:rsid w:val="0082727F"/>
    <w:rsid w:val="00827831"/>
    <w:rsid w:val="00831CBA"/>
    <w:rsid w:val="00832E2F"/>
    <w:rsid w:val="00835003"/>
    <w:rsid w:val="00835732"/>
    <w:rsid w:val="008361DC"/>
    <w:rsid w:val="00842B67"/>
    <w:rsid w:val="0085110C"/>
    <w:rsid w:val="00853112"/>
    <w:rsid w:val="00860788"/>
    <w:rsid w:val="00865C29"/>
    <w:rsid w:val="00870F41"/>
    <w:rsid w:val="00875700"/>
    <w:rsid w:val="008951C2"/>
    <w:rsid w:val="008A00D2"/>
    <w:rsid w:val="008A0B71"/>
    <w:rsid w:val="008A20BC"/>
    <w:rsid w:val="008A5B5B"/>
    <w:rsid w:val="008B3848"/>
    <w:rsid w:val="008C1B1C"/>
    <w:rsid w:val="008C4669"/>
    <w:rsid w:val="008F0BB7"/>
    <w:rsid w:val="008F13F6"/>
    <w:rsid w:val="008F46A7"/>
    <w:rsid w:val="008F53E8"/>
    <w:rsid w:val="008F6206"/>
    <w:rsid w:val="00900581"/>
    <w:rsid w:val="00902F38"/>
    <w:rsid w:val="00903631"/>
    <w:rsid w:val="0090651B"/>
    <w:rsid w:val="009067E2"/>
    <w:rsid w:val="009135C0"/>
    <w:rsid w:val="00916025"/>
    <w:rsid w:val="00920CA0"/>
    <w:rsid w:val="00921515"/>
    <w:rsid w:val="009246AB"/>
    <w:rsid w:val="00926FB8"/>
    <w:rsid w:val="009326FE"/>
    <w:rsid w:val="00935A02"/>
    <w:rsid w:val="0094089C"/>
    <w:rsid w:val="00943178"/>
    <w:rsid w:val="00952512"/>
    <w:rsid w:val="00956993"/>
    <w:rsid w:val="009657D4"/>
    <w:rsid w:val="00970A39"/>
    <w:rsid w:val="00974DAA"/>
    <w:rsid w:val="00976BC2"/>
    <w:rsid w:val="009912E7"/>
    <w:rsid w:val="00991A08"/>
    <w:rsid w:val="00995EAE"/>
    <w:rsid w:val="009A1120"/>
    <w:rsid w:val="009A2E98"/>
    <w:rsid w:val="009A5274"/>
    <w:rsid w:val="009B4B8B"/>
    <w:rsid w:val="009B5DF6"/>
    <w:rsid w:val="009B67D5"/>
    <w:rsid w:val="009B7E90"/>
    <w:rsid w:val="009C047D"/>
    <w:rsid w:val="009D26F9"/>
    <w:rsid w:val="009E1454"/>
    <w:rsid w:val="009E54BE"/>
    <w:rsid w:val="009E6D58"/>
    <w:rsid w:val="009E6ECE"/>
    <w:rsid w:val="009E777E"/>
    <w:rsid w:val="009F0D1D"/>
    <w:rsid w:val="00A00F77"/>
    <w:rsid w:val="00A0253C"/>
    <w:rsid w:val="00A029C0"/>
    <w:rsid w:val="00A105E1"/>
    <w:rsid w:val="00A10B0D"/>
    <w:rsid w:val="00A10D44"/>
    <w:rsid w:val="00A110BB"/>
    <w:rsid w:val="00A17779"/>
    <w:rsid w:val="00A2038A"/>
    <w:rsid w:val="00A247D5"/>
    <w:rsid w:val="00A32569"/>
    <w:rsid w:val="00A32780"/>
    <w:rsid w:val="00A34066"/>
    <w:rsid w:val="00A36A8A"/>
    <w:rsid w:val="00A36ED2"/>
    <w:rsid w:val="00A40A09"/>
    <w:rsid w:val="00A578C2"/>
    <w:rsid w:val="00A622B1"/>
    <w:rsid w:val="00A6411B"/>
    <w:rsid w:val="00A7436C"/>
    <w:rsid w:val="00A83504"/>
    <w:rsid w:val="00A92801"/>
    <w:rsid w:val="00A946A8"/>
    <w:rsid w:val="00A96EB7"/>
    <w:rsid w:val="00AA16DA"/>
    <w:rsid w:val="00AA35F9"/>
    <w:rsid w:val="00AA382A"/>
    <w:rsid w:val="00AA66E6"/>
    <w:rsid w:val="00AB4B4E"/>
    <w:rsid w:val="00AB5D9F"/>
    <w:rsid w:val="00AC1FE2"/>
    <w:rsid w:val="00AC34CD"/>
    <w:rsid w:val="00AC6BC3"/>
    <w:rsid w:val="00AD2878"/>
    <w:rsid w:val="00AD4392"/>
    <w:rsid w:val="00AD7E3F"/>
    <w:rsid w:val="00AE20BB"/>
    <w:rsid w:val="00AE6D61"/>
    <w:rsid w:val="00AF035E"/>
    <w:rsid w:val="00AF09CB"/>
    <w:rsid w:val="00AF0CE3"/>
    <w:rsid w:val="00AF4215"/>
    <w:rsid w:val="00AF64C7"/>
    <w:rsid w:val="00B003E8"/>
    <w:rsid w:val="00B21FAB"/>
    <w:rsid w:val="00B24080"/>
    <w:rsid w:val="00B24A51"/>
    <w:rsid w:val="00B268DE"/>
    <w:rsid w:val="00B359C2"/>
    <w:rsid w:val="00B36CEF"/>
    <w:rsid w:val="00B402BE"/>
    <w:rsid w:val="00B407C0"/>
    <w:rsid w:val="00B42189"/>
    <w:rsid w:val="00B47D62"/>
    <w:rsid w:val="00B50BDF"/>
    <w:rsid w:val="00B51C43"/>
    <w:rsid w:val="00B566A3"/>
    <w:rsid w:val="00B56E22"/>
    <w:rsid w:val="00B5778C"/>
    <w:rsid w:val="00B7057D"/>
    <w:rsid w:val="00B80D4A"/>
    <w:rsid w:val="00B822AF"/>
    <w:rsid w:val="00B840AF"/>
    <w:rsid w:val="00B843AC"/>
    <w:rsid w:val="00B86155"/>
    <w:rsid w:val="00B9197A"/>
    <w:rsid w:val="00B95248"/>
    <w:rsid w:val="00B9722B"/>
    <w:rsid w:val="00BA12C5"/>
    <w:rsid w:val="00BA2889"/>
    <w:rsid w:val="00BB59D4"/>
    <w:rsid w:val="00BB68AE"/>
    <w:rsid w:val="00BC725D"/>
    <w:rsid w:val="00BC7F84"/>
    <w:rsid w:val="00BD02BD"/>
    <w:rsid w:val="00BD0A03"/>
    <w:rsid w:val="00BD629C"/>
    <w:rsid w:val="00BE4325"/>
    <w:rsid w:val="00BE66D4"/>
    <w:rsid w:val="00BF0D1E"/>
    <w:rsid w:val="00BF481F"/>
    <w:rsid w:val="00BF6D35"/>
    <w:rsid w:val="00C012F9"/>
    <w:rsid w:val="00C1202C"/>
    <w:rsid w:val="00C17FE1"/>
    <w:rsid w:val="00C201A3"/>
    <w:rsid w:val="00C209FC"/>
    <w:rsid w:val="00C24F08"/>
    <w:rsid w:val="00C27E6E"/>
    <w:rsid w:val="00C31A7B"/>
    <w:rsid w:val="00C34FCA"/>
    <w:rsid w:val="00C4243C"/>
    <w:rsid w:val="00C44BAC"/>
    <w:rsid w:val="00C5312A"/>
    <w:rsid w:val="00C548BE"/>
    <w:rsid w:val="00C65321"/>
    <w:rsid w:val="00C723C0"/>
    <w:rsid w:val="00C727B6"/>
    <w:rsid w:val="00C75E5E"/>
    <w:rsid w:val="00C82B71"/>
    <w:rsid w:val="00C85707"/>
    <w:rsid w:val="00C92844"/>
    <w:rsid w:val="00CA0B82"/>
    <w:rsid w:val="00CC4195"/>
    <w:rsid w:val="00CC4B53"/>
    <w:rsid w:val="00CD18B2"/>
    <w:rsid w:val="00CD3660"/>
    <w:rsid w:val="00CE12F6"/>
    <w:rsid w:val="00CE2C92"/>
    <w:rsid w:val="00CF205C"/>
    <w:rsid w:val="00D043A3"/>
    <w:rsid w:val="00D06348"/>
    <w:rsid w:val="00D10EF0"/>
    <w:rsid w:val="00D15CEB"/>
    <w:rsid w:val="00D202BF"/>
    <w:rsid w:val="00D21D5C"/>
    <w:rsid w:val="00D2798D"/>
    <w:rsid w:val="00D3214A"/>
    <w:rsid w:val="00D3346E"/>
    <w:rsid w:val="00D33808"/>
    <w:rsid w:val="00D33E4C"/>
    <w:rsid w:val="00D5066A"/>
    <w:rsid w:val="00D5216C"/>
    <w:rsid w:val="00D6590A"/>
    <w:rsid w:val="00D67053"/>
    <w:rsid w:val="00D67EB0"/>
    <w:rsid w:val="00D71202"/>
    <w:rsid w:val="00D75C82"/>
    <w:rsid w:val="00D77325"/>
    <w:rsid w:val="00D82824"/>
    <w:rsid w:val="00D834A0"/>
    <w:rsid w:val="00D90618"/>
    <w:rsid w:val="00DA3D56"/>
    <w:rsid w:val="00DA7F78"/>
    <w:rsid w:val="00DB0CE1"/>
    <w:rsid w:val="00DB2416"/>
    <w:rsid w:val="00DC04C7"/>
    <w:rsid w:val="00DC4668"/>
    <w:rsid w:val="00DC4DC9"/>
    <w:rsid w:val="00DC5235"/>
    <w:rsid w:val="00DC569B"/>
    <w:rsid w:val="00DC7FE4"/>
    <w:rsid w:val="00DD08B1"/>
    <w:rsid w:val="00DE16BC"/>
    <w:rsid w:val="00DE6195"/>
    <w:rsid w:val="00DF6951"/>
    <w:rsid w:val="00DF7FF6"/>
    <w:rsid w:val="00E01149"/>
    <w:rsid w:val="00E03CDE"/>
    <w:rsid w:val="00E05C14"/>
    <w:rsid w:val="00E12740"/>
    <w:rsid w:val="00E1291D"/>
    <w:rsid w:val="00E22219"/>
    <w:rsid w:val="00E230CE"/>
    <w:rsid w:val="00E262C1"/>
    <w:rsid w:val="00E407A5"/>
    <w:rsid w:val="00E45D48"/>
    <w:rsid w:val="00E51A51"/>
    <w:rsid w:val="00E65A38"/>
    <w:rsid w:val="00E66A66"/>
    <w:rsid w:val="00E731A9"/>
    <w:rsid w:val="00E817C9"/>
    <w:rsid w:val="00E825D2"/>
    <w:rsid w:val="00E91552"/>
    <w:rsid w:val="00E93F1F"/>
    <w:rsid w:val="00E96A71"/>
    <w:rsid w:val="00EA0994"/>
    <w:rsid w:val="00EB0C91"/>
    <w:rsid w:val="00EB0D2E"/>
    <w:rsid w:val="00EB51AF"/>
    <w:rsid w:val="00EB7814"/>
    <w:rsid w:val="00EE0B60"/>
    <w:rsid w:val="00EF4120"/>
    <w:rsid w:val="00EF4DA2"/>
    <w:rsid w:val="00EF519C"/>
    <w:rsid w:val="00EF7929"/>
    <w:rsid w:val="00F00180"/>
    <w:rsid w:val="00F03D84"/>
    <w:rsid w:val="00F1037A"/>
    <w:rsid w:val="00F10913"/>
    <w:rsid w:val="00F20002"/>
    <w:rsid w:val="00F276C3"/>
    <w:rsid w:val="00F32FD9"/>
    <w:rsid w:val="00F33596"/>
    <w:rsid w:val="00F36CFD"/>
    <w:rsid w:val="00F41AAC"/>
    <w:rsid w:val="00F42141"/>
    <w:rsid w:val="00F623C5"/>
    <w:rsid w:val="00F75912"/>
    <w:rsid w:val="00F87BE3"/>
    <w:rsid w:val="00F90F39"/>
    <w:rsid w:val="00F923F8"/>
    <w:rsid w:val="00F9768F"/>
    <w:rsid w:val="00FA19BB"/>
    <w:rsid w:val="00FA5506"/>
    <w:rsid w:val="00FA66F7"/>
    <w:rsid w:val="00FB47C0"/>
    <w:rsid w:val="00FC0470"/>
    <w:rsid w:val="00FC37A4"/>
    <w:rsid w:val="00FC795B"/>
    <w:rsid w:val="00FD1F83"/>
    <w:rsid w:val="00FE4741"/>
    <w:rsid w:val="00FE50C3"/>
    <w:rsid w:val="00FE6DB3"/>
    <w:rsid w:val="00FF2A18"/>
    <w:rsid w:val="54B53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2D3D279"/>
  <w15:docId w15:val="{350F7A64-7C00-4D8D-91DA-A53B38E4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fr-FR"/>
    </w:rPr>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Bullet,List Paragraph1,Liste 1"/>
    <w:basedOn w:val="Normal"/>
    <w:link w:val="ParagraphedelisteCar"/>
    <w:uiPriority w:val="72"/>
    <w:qFormat/>
    <w:rsid w:val="008F46A7"/>
    <w:pPr>
      <w:spacing w:after="80"/>
      <w:ind w:left="720"/>
      <w:contextualSpacing/>
    </w:pPr>
    <w:rPr>
      <w:sz w:val="24"/>
      <w:szCs w:val="24"/>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rsid w:val="008F46A7"/>
    <w:rPr>
      <w:sz w:val="24"/>
      <w:szCs w:val="24"/>
    </w:rPr>
  </w:style>
  <w:style w:type="character" w:styleId="Lienhypertexte">
    <w:name w:val="Hyperlink"/>
    <w:rsid w:val="00520C65"/>
    <w:rPr>
      <w:color w:val="0000FF"/>
      <w:u w:val="single"/>
    </w:rPr>
  </w:style>
  <w:style w:type="paragraph" w:customStyle="1" w:styleId="Default">
    <w:name w:val="Default"/>
    <w:rsid w:val="00520C65"/>
    <w:pPr>
      <w:autoSpaceDE w:val="0"/>
      <w:autoSpaceDN w:val="0"/>
      <w:adjustRightInd w:val="0"/>
    </w:pPr>
    <w:rPr>
      <w:rFonts w:ascii="Courier New" w:eastAsia="Calibri" w:hAnsi="Courier New" w:cs="Courier New"/>
      <w:color w:val="000000"/>
      <w:sz w:val="24"/>
      <w:szCs w:val="24"/>
      <w:lang w:val="fr-FR"/>
    </w:rPr>
  </w:style>
  <w:style w:type="character" w:customStyle="1" w:styleId="Mentionnonrsolue1">
    <w:name w:val="Mention non résolue1"/>
    <w:basedOn w:val="Policepardfaut"/>
    <w:uiPriority w:val="99"/>
    <w:semiHidden/>
    <w:unhideWhenUsed/>
    <w:rsid w:val="00520C65"/>
    <w:rPr>
      <w:color w:val="605E5C"/>
      <w:shd w:val="clear" w:color="auto" w:fill="E1DFDD"/>
    </w:rPr>
  </w:style>
  <w:style w:type="table" w:styleId="Grilledutableau">
    <w:name w:val="Table Grid"/>
    <w:basedOn w:val="TableauNormal"/>
    <w:uiPriority w:val="39"/>
    <w:rsid w:val="00677FB6"/>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50BDF"/>
  </w:style>
  <w:style w:type="character" w:styleId="Marquedecommentaire">
    <w:name w:val="annotation reference"/>
    <w:basedOn w:val="Policepardfaut"/>
    <w:uiPriority w:val="99"/>
    <w:unhideWhenUsed/>
    <w:rsid w:val="00B50BDF"/>
    <w:rPr>
      <w:sz w:val="16"/>
      <w:szCs w:val="16"/>
    </w:rPr>
  </w:style>
  <w:style w:type="paragraph" w:styleId="Commentaire">
    <w:name w:val="annotation text"/>
    <w:basedOn w:val="Normal"/>
    <w:link w:val="CommentaireCar"/>
    <w:uiPriority w:val="99"/>
    <w:unhideWhenUsed/>
    <w:rsid w:val="00B50BDF"/>
  </w:style>
  <w:style w:type="character" w:customStyle="1" w:styleId="CommentaireCar">
    <w:name w:val="Commentaire Car"/>
    <w:basedOn w:val="Policepardfaut"/>
    <w:link w:val="Commentaire"/>
    <w:uiPriority w:val="99"/>
    <w:rsid w:val="00B50BDF"/>
  </w:style>
  <w:style w:type="paragraph" w:styleId="Objetducommentaire">
    <w:name w:val="annotation subject"/>
    <w:basedOn w:val="Commentaire"/>
    <w:next w:val="Commentaire"/>
    <w:link w:val="ObjetducommentaireCar"/>
    <w:uiPriority w:val="99"/>
    <w:semiHidden/>
    <w:unhideWhenUsed/>
    <w:rsid w:val="00B50BDF"/>
    <w:rPr>
      <w:b/>
      <w:bCs/>
    </w:rPr>
  </w:style>
  <w:style w:type="character" w:customStyle="1" w:styleId="ObjetducommentaireCar">
    <w:name w:val="Objet du commentaire Car"/>
    <w:basedOn w:val="CommentaireCar"/>
    <w:link w:val="Objetducommentaire"/>
    <w:uiPriority w:val="99"/>
    <w:semiHidden/>
    <w:rsid w:val="00B50BDF"/>
    <w:rPr>
      <w:b/>
      <w:bCs/>
    </w:rPr>
  </w:style>
  <w:style w:type="character" w:customStyle="1" w:styleId="m-1057021631526931888msointenseemphasis">
    <w:name w:val="m_-1057021631526931888msointenseemphasis"/>
    <w:basedOn w:val="Policepardfaut"/>
    <w:rsid w:val="00B51C43"/>
  </w:style>
  <w:style w:type="character" w:styleId="Mentionnonrsolue">
    <w:name w:val="Unresolved Mention"/>
    <w:basedOn w:val="Policepardfaut"/>
    <w:uiPriority w:val="99"/>
    <w:semiHidden/>
    <w:unhideWhenUsed/>
    <w:rsid w:val="0011545F"/>
    <w:rPr>
      <w:color w:val="605E5C"/>
      <w:shd w:val="clear" w:color="auto" w:fill="E1DFDD"/>
    </w:rPr>
  </w:style>
  <w:style w:type="paragraph" w:styleId="Textedebulles">
    <w:name w:val="Balloon Text"/>
    <w:basedOn w:val="Normal"/>
    <w:link w:val="TextedebullesCar"/>
    <w:uiPriority w:val="99"/>
    <w:semiHidden/>
    <w:unhideWhenUsed/>
    <w:rsid w:val="006560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6045"/>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76352">
      <w:bodyDiv w:val="1"/>
      <w:marLeft w:val="0"/>
      <w:marRight w:val="0"/>
      <w:marTop w:val="0"/>
      <w:marBottom w:val="0"/>
      <w:divBdr>
        <w:top w:val="none" w:sz="0" w:space="0" w:color="auto"/>
        <w:left w:val="none" w:sz="0" w:space="0" w:color="auto"/>
        <w:bottom w:val="none" w:sz="0" w:space="0" w:color="auto"/>
        <w:right w:val="none" w:sz="0" w:space="0" w:color="auto"/>
      </w:divBdr>
      <w:divsChild>
        <w:div w:id="20400868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tamim-dar.sylla@ageroute.gov.gn"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mailto:amara.diabate@ageroute.gov.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mailt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afdb.org" TargetMode="External"/><Relationship Id="rId4" Type="http://schemas.openxmlformats.org/officeDocument/2006/relationships/webSettings" Target="webSettings.xml"/><Relationship Id="rId9" Type="http://schemas.openxmlformats.org/officeDocument/2006/relationships/hyperlink" Target="https://eur06.safelinks.protection.outlook.com/?url=https%3A%2F%2Fdocs.google.com%2Fdocument%2Fd%2F1iiGOG3TQ4MTWeeMvu1crcbsLf8ccxaQp%2Fedit%3Fusp%3Dsharing%26ouid%3D114878397458404928356%26rtpof%3Dtrue%26sd%3Dtrue&amp;data=05%7C02%7Ctamim-dar.sylla%40ageroute.gov.gn%7C7a41926911d4492a3f8808dec22ba61a%7Cc3714593635c4a148c3a4e9bdc30a984%7C0%7C0%7C639161689902071408%7CUnknown%7CTWFpbGZsb3d8eyJFbXB0eU1hcGkiOnRydWUsIlYiOiIwLjAuMDAwMCIsIlAiOiJXaW4zMiIsIkFOIjoiTWFpbCIsIldUIjoyfQ%3D%3D%7C0%7C%7C%7C&amp;sdata=dcGuVh2VLzogm9CGqa1RR27lVX2sp7zC%2BsRD3abmh7M%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1506</Words>
  <Characters>8284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 dar SYLLA</dc:creator>
  <cp:keywords/>
  <dc:description/>
  <cp:lastModifiedBy>Tamim Dar SYLLA</cp:lastModifiedBy>
  <cp:revision>14</cp:revision>
  <dcterms:created xsi:type="dcterms:W3CDTF">2026-06-04T08:27:00Z</dcterms:created>
  <dcterms:modified xsi:type="dcterms:W3CDTF">2026-06-04T11:23:00Z</dcterms:modified>
</cp:coreProperties>
</file>