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5918" w14:textId="77777777" w:rsidR="00C2183E" w:rsidRPr="00E1487E" w:rsidRDefault="00C2183E" w:rsidP="00C2183E">
      <w:pPr>
        <w:spacing w:after="0"/>
        <w:jc w:val="center"/>
        <w:rPr>
          <w:rFonts w:ascii="Times New Roman" w:hAnsi="Times New Roman"/>
          <w:b/>
          <w:color w:val="000000" w:themeColor="text1"/>
          <w:sz w:val="44"/>
        </w:rPr>
      </w:pPr>
    </w:p>
    <w:p w14:paraId="7B17D3EB" w14:textId="77777777" w:rsidR="00C2183E" w:rsidRPr="00E1487E" w:rsidRDefault="00C2183E" w:rsidP="00C2183E">
      <w:pPr>
        <w:pStyle w:val="Sous-titre"/>
        <w:spacing w:line="276" w:lineRule="auto"/>
        <w:rPr>
          <w:rFonts w:eastAsia="Arial"/>
          <w:b/>
          <w:spacing w:val="-1"/>
        </w:rPr>
      </w:pPr>
      <w:r w:rsidRPr="00E1487E">
        <w:rPr>
          <w:noProof/>
          <w:lang w:eastAsia="fr-FR"/>
        </w:rPr>
        <w:drawing>
          <wp:anchor distT="0" distB="0" distL="114300" distR="114300" simplePos="0" relativeHeight="251660288" behindDoc="1" locked="0" layoutInCell="1" allowOverlap="1" wp14:anchorId="209B6AB9" wp14:editId="0559FD39">
            <wp:simplePos x="0" y="0"/>
            <wp:positionH relativeFrom="margin">
              <wp:align>right</wp:align>
            </wp:positionH>
            <wp:positionV relativeFrom="paragraph">
              <wp:posOffset>-290781</wp:posOffset>
            </wp:positionV>
            <wp:extent cx="1244600" cy="660400"/>
            <wp:effectExtent l="0" t="0" r="0" b="6350"/>
            <wp:wrapNone/>
            <wp:docPr id="760349590" name="Image 76034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4600" cy="660400"/>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eastAsia="Times New Roman"/>
          <w:b/>
          <w:snapToGrid w:val="0"/>
          <w:spacing w:val="0"/>
        </w:rPr>
        <w:object w:dxaOrig="1440" w:dyaOrig="1440" w14:anchorId="136D3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75pt;margin-top:-40.5pt;width:66.25pt;height:52.3pt;z-index:251659264;mso-position-horizontal-relative:text;mso-position-vertical-relative:text">
            <v:imagedata r:id="rId6" o:title=""/>
          </v:shape>
          <o:OLEObject Type="Embed" ProgID="CorelDRAW.Graphic.11" ShapeID="_x0000_s1026" DrawAspect="Content" ObjectID="_1836452321" r:id="rId7"/>
        </w:object>
      </w:r>
    </w:p>
    <w:p w14:paraId="5C29D548" w14:textId="77777777" w:rsidR="00C2183E" w:rsidRPr="00E1487E" w:rsidRDefault="00C2183E" w:rsidP="00C2183E">
      <w:pPr>
        <w:spacing w:before="32" w:line="276" w:lineRule="auto"/>
        <w:ind w:right="-38"/>
        <w:rPr>
          <w:rFonts w:ascii="Times New Roman" w:eastAsia="Arial" w:hAnsi="Times New Roman"/>
          <w:b/>
          <w:sz w:val="22"/>
          <w:szCs w:val="22"/>
        </w:rPr>
      </w:pPr>
      <w:r w:rsidRPr="00E1487E">
        <w:rPr>
          <w:rFonts w:ascii="Times New Roman" w:eastAsia="Arial" w:hAnsi="Times New Roman"/>
          <w:b/>
          <w:spacing w:val="-1"/>
          <w:sz w:val="22"/>
          <w:szCs w:val="22"/>
        </w:rPr>
        <w:t xml:space="preserve">           REPUB</w:t>
      </w:r>
      <w:r w:rsidRPr="00E1487E">
        <w:rPr>
          <w:rFonts w:ascii="Times New Roman" w:eastAsia="Arial" w:hAnsi="Times New Roman"/>
          <w:b/>
          <w:sz w:val="22"/>
          <w:szCs w:val="22"/>
        </w:rPr>
        <w:t>LI</w:t>
      </w:r>
      <w:r w:rsidRPr="00E1487E">
        <w:rPr>
          <w:rFonts w:ascii="Times New Roman" w:eastAsia="Arial" w:hAnsi="Times New Roman"/>
          <w:b/>
          <w:spacing w:val="1"/>
          <w:sz w:val="22"/>
          <w:szCs w:val="22"/>
        </w:rPr>
        <w:t>Q</w:t>
      </w:r>
      <w:r w:rsidRPr="00E1487E">
        <w:rPr>
          <w:rFonts w:ascii="Times New Roman" w:eastAsia="Arial" w:hAnsi="Times New Roman"/>
          <w:b/>
          <w:spacing w:val="-1"/>
          <w:sz w:val="22"/>
          <w:szCs w:val="22"/>
        </w:rPr>
        <w:t>U</w:t>
      </w:r>
      <w:r w:rsidRPr="00E1487E">
        <w:rPr>
          <w:rFonts w:ascii="Times New Roman" w:eastAsia="Arial" w:hAnsi="Times New Roman"/>
          <w:b/>
          <w:sz w:val="22"/>
          <w:szCs w:val="22"/>
        </w:rPr>
        <w:t xml:space="preserve">E </w:t>
      </w:r>
      <w:r w:rsidRPr="00E1487E">
        <w:rPr>
          <w:rFonts w:ascii="Times New Roman" w:eastAsia="Arial" w:hAnsi="Times New Roman"/>
          <w:b/>
          <w:spacing w:val="-1"/>
          <w:sz w:val="22"/>
          <w:szCs w:val="22"/>
        </w:rPr>
        <w:t>D</w:t>
      </w:r>
      <w:r w:rsidRPr="00E1487E">
        <w:rPr>
          <w:rFonts w:ascii="Times New Roman" w:eastAsia="Arial" w:hAnsi="Times New Roman"/>
          <w:b/>
          <w:sz w:val="22"/>
          <w:szCs w:val="22"/>
        </w:rPr>
        <w:t xml:space="preserve">E </w:t>
      </w:r>
      <w:r w:rsidRPr="00E1487E">
        <w:rPr>
          <w:rFonts w:ascii="Times New Roman" w:eastAsia="Arial" w:hAnsi="Times New Roman"/>
          <w:b/>
          <w:spacing w:val="1"/>
          <w:sz w:val="22"/>
          <w:szCs w:val="22"/>
        </w:rPr>
        <w:t>G</w:t>
      </w:r>
      <w:r w:rsidRPr="00E1487E">
        <w:rPr>
          <w:rFonts w:ascii="Times New Roman" w:eastAsia="Arial" w:hAnsi="Times New Roman"/>
          <w:b/>
          <w:spacing w:val="-1"/>
          <w:sz w:val="22"/>
          <w:szCs w:val="22"/>
        </w:rPr>
        <w:t>U</w:t>
      </w:r>
      <w:r w:rsidRPr="00E1487E">
        <w:rPr>
          <w:rFonts w:ascii="Times New Roman" w:eastAsia="Arial" w:hAnsi="Times New Roman"/>
          <w:b/>
          <w:spacing w:val="1"/>
          <w:sz w:val="22"/>
          <w:szCs w:val="22"/>
        </w:rPr>
        <w:t>I</w:t>
      </w:r>
      <w:r w:rsidRPr="00E1487E">
        <w:rPr>
          <w:rFonts w:ascii="Times New Roman" w:eastAsia="Arial" w:hAnsi="Times New Roman"/>
          <w:b/>
          <w:spacing w:val="-1"/>
          <w:sz w:val="22"/>
          <w:szCs w:val="22"/>
        </w:rPr>
        <w:t>NE</w:t>
      </w:r>
      <w:r w:rsidRPr="00E1487E">
        <w:rPr>
          <w:rFonts w:ascii="Times New Roman" w:eastAsia="Arial" w:hAnsi="Times New Roman"/>
          <w:b/>
          <w:sz w:val="22"/>
          <w:szCs w:val="22"/>
        </w:rPr>
        <w:t xml:space="preserve">E                                                    </w:t>
      </w:r>
      <w:r w:rsidRPr="00E1487E">
        <w:rPr>
          <w:rFonts w:ascii="Times New Roman" w:eastAsia="Arial" w:hAnsi="Times New Roman"/>
          <w:b/>
          <w:spacing w:val="1"/>
          <w:sz w:val="22"/>
          <w:szCs w:val="22"/>
        </w:rPr>
        <w:t>G</w:t>
      </w:r>
      <w:r w:rsidRPr="00E1487E">
        <w:rPr>
          <w:rFonts w:ascii="Times New Roman" w:eastAsia="Arial" w:hAnsi="Times New Roman"/>
          <w:b/>
          <w:spacing w:val="-1"/>
          <w:sz w:val="22"/>
          <w:szCs w:val="22"/>
        </w:rPr>
        <w:t>R</w:t>
      </w:r>
      <w:r w:rsidRPr="00E1487E">
        <w:rPr>
          <w:rFonts w:ascii="Times New Roman" w:eastAsia="Arial" w:hAnsi="Times New Roman"/>
          <w:b/>
          <w:spacing w:val="1"/>
          <w:sz w:val="22"/>
          <w:szCs w:val="22"/>
        </w:rPr>
        <w:t>O</w:t>
      </w:r>
      <w:r w:rsidRPr="00E1487E">
        <w:rPr>
          <w:rFonts w:ascii="Times New Roman" w:eastAsia="Arial" w:hAnsi="Times New Roman"/>
          <w:b/>
          <w:spacing w:val="-1"/>
          <w:sz w:val="22"/>
          <w:szCs w:val="22"/>
        </w:rPr>
        <w:t>UP</w:t>
      </w:r>
      <w:r w:rsidRPr="00E1487E">
        <w:rPr>
          <w:rFonts w:ascii="Times New Roman" w:eastAsia="Arial" w:hAnsi="Times New Roman"/>
          <w:b/>
          <w:sz w:val="22"/>
          <w:szCs w:val="22"/>
        </w:rPr>
        <w:t xml:space="preserve">E </w:t>
      </w:r>
      <w:r w:rsidRPr="00E1487E">
        <w:rPr>
          <w:rFonts w:ascii="Times New Roman" w:eastAsia="Arial" w:hAnsi="Times New Roman"/>
          <w:b/>
          <w:spacing w:val="-1"/>
          <w:sz w:val="22"/>
          <w:szCs w:val="22"/>
        </w:rPr>
        <w:t>D</w:t>
      </w:r>
      <w:r w:rsidRPr="00E1487E">
        <w:rPr>
          <w:rFonts w:ascii="Times New Roman" w:eastAsia="Arial" w:hAnsi="Times New Roman"/>
          <w:b/>
          <w:sz w:val="22"/>
          <w:szCs w:val="22"/>
        </w:rPr>
        <w:t>E LA</w:t>
      </w:r>
      <w:r w:rsidRPr="00E1487E">
        <w:rPr>
          <w:rFonts w:ascii="Times New Roman" w:eastAsia="Arial" w:hAnsi="Times New Roman"/>
          <w:b/>
          <w:spacing w:val="-1"/>
          <w:sz w:val="22"/>
          <w:szCs w:val="22"/>
        </w:rPr>
        <w:t xml:space="preserve"> B</w:t>
      </w:r>
      <w:r w:rsidRPr="00E1487E">
        <w:rPr>
          <w:rFonts w:ascii="Times New Roman" w:eastAsia="Arial" w:hAnsi="Times New Roman"/>
          <w:b/>
          <w:spacing w:val="-8"/>
          <w:sz w:val="22"/>
          <w:szCs w:val="22"/>
        </w:rPr>
        <w:t>A</w:t>
      </w:r>
      <w:r w:rsidRPr="00E1487E">
        <w:rPr>
          <w:rFonts w:ascii="Times New Roman" w:eastAsia="Arial" w:hAnsi="Times New Roman"/>
          <w:b/>
          <w:spacing w:val="-1"/>
          <w:sz w:val="22"/>
          <w:szCs w:val="22"/>
        </w:rPr>
        <w:t>N</w:t>
      </w:r>
      <w:r w:rsidRPr="00E1487E">
        <w:rPr>
          <w:rFonts w:ascii="Times New Roman" w:eastAsia="Arial" w:hAnsi="Times New Roman"/>
          <w:b/>
          <w:spacing w:val="1"/>
          <w:sz w:val="22"/>
          <w:szCs w:val="22"/>
        </w:rPr>
        <w:t>Q</w:t>
      </w:r>
      <w:r w:rsidRPr="00E1487E">
        <w:rPr>
          <w:rFonts w:ascii="Times New Roman" w:eastAsia="Arial" w:hAnsi="Times New Roman"/>
          <w:b/>
          <w:spacing w:val="-1"/>
          <w:sz w:val="22"/>
          <w:szCs w:val="22"/>
        </w:rPr>
        <w:t>U</w:t>
      </w:r>
      <w:r w:rsidRPr="00E1487E">
        <w:rPr>
          <w:rFonts w:ascii="Times New Roman" w:eastAsia="Arial" w:hAnsi="Times New Roman"/>
          <w:b/>
          <w:sz w:val="22"/>
          <w:szCs w:val="22"/>
        </w:rPr>
        <w:t>E</w:t>
      </w:r>
    </w:p>
    <w:p w14:paraId="5B63DAC5" w14:textId="154E384A" w:rsidR="00B653C2" w:rsidRPr="00C2183E" w:rsidRDefault="00C2183E" w:rsidP="00C2183E">
      <w:pPr>
        <w:spacing w:before="32" w:line="276" w:lineRule="auto"/>
        <w:ind w:left="5664" w:right="-38"/>
        <w:jc w:val="center"/>
        <w:rPr>
          <w:rFonts w:ascii="Times New Roman" w:eastAsia="Arial" w:hAnsi="Times New Roman"/>
          <w:b/>
          <w:spacing w:val="-8"/>
          <w:sz w:val="22"/>
          <w:szCs w:val="22"/>
        </w:rPr>
      </w:pPr>
      <w:r w:rsidRPr="00E1487E">
        <w:rPr>
          <w:rFonts w:ascii="Times New Roman" w:eastAsia="Arial" w:hAnsi="Times New Roman"/>
          <w:b/>
          <w:spacing w:val="-8"/>
          <w:sz w:val="22"/>
          <w:szCs w:val="22"/>
        </w:rPr>
        <w:t>A</w:t>
      </w:r>
      <w:r w:rsidRPr="00E1487E">
        <w:rPr>
          <w:rFonts w:ascii="Times New Roman" w:eastAsia="Arial" w:hAnsi="Times New Roman"/>
          <w:b/>
          <w:sz w:val="22"/>
          <w:szCs w:val="22"/>
        </w:rPr>
        <w:t>F</w:t>
      </w:r>
      <w:r w:rsidRPr="00E1487E">
        <w:rPr>
          <w:rFonts w:ascii="Times New Roman" w:eastAsia="Arial" w:hAnsi="Times New Roman"/>
          <w:b/>
          <w:spacing w:val="-2"/>
          <w:sz w:val="22"/>
          <w:szCs w:val="22"/>
        </w:rPr>
        <w:t>R</w:t>
      </w:r>
      <w:r w:rsidRPr="00E1487E">
        <w:rPr>
          <w:rFonts w:ascii="Times New Roman" w:eastAsia="Arial" w:hAnsi="Times New Roman"/>
          <w:b/>
          <w:spacing w:val="1"/>
          <w:sz w:val="22"/>
          <w:szCs w:val="22"/>
        </w:rPr>
        <w:t>I</w:t>
      </w:r>
      <w:r w:rsidRPr="00E1487E">
        <w:rPr>
          <w:rFonts w:ascii="Times New Roman" w:eastAsia="Arial" w:hAnsi="Times New Roman"/>
          <w:b/>
          <w:spacing w:val="-1"/>
          <w:sz w:val="22"/>
          <w:szCs w:val="22"/>
        </w:rPr>
        <w:t>C</w:t>
      </w:r>
      <w:r w:rsidRPr="00E1487E">
        <w:rPr>
          <w:rFonts w:ascii="Times New Roman" w:eastAsia="Arial" w:hAnsi="Times New Roman"/>
          <w:b/>
          <w:spacing w:val="-8"/>
          <w:sz w:val="22"/>
          <w:szCs w:val="22"/>
        </w:rPr>
        <w:t>A</w:t>
      </w:r>
      <w:r w:rsidRPr="00E1487E">
        <w:rPr>
          <w:rFonts w:ascii="Times New Roman" w:eastAsia="Arial" w:hAnsi="Times New Roman"/>
          <w:b/>
          <w:spacing w:val="1"/>
          <w:sz w:val="22"/>
          <w:szCs w:val="22"/>
        </w:rPr>
        <w:t>I</w:t>
      </w:r>
      <w:r w:rsidRPr="00E1487E">
        <w:rPr>
          <w:rFonts w:ascii="Times New Roman" w:eastAsia="Arial" w:hAnsi="Times New Roman"/>
          <w:b/>
          <w:spacing w:val="-1"/>
          <w:sz w:val="22"/>
          <w:szCs w:val="22"/>
        </w:rPr>
        <w:t>N</w:t>
      </w:r>
      <w:r w:rsidRPr="00E1487E">
        <w:rPr>
          <w:rFonts w:ascii="Times New Roman" w:eastAsia="Arial" w:hAnsi="Times New Roman"/>
          <w:b/>
          <w:sz w:val="22"/>
          <w:szCs w:val="22"/>
        </w:rPr>
        <w:t xml:space="preserve">E DE </w:t>
      </w:r>
      <w:r w:rsidRPr="00E1487E">
        <w:rPr>
          <w:rFonts w:ascii="Times New Roman" w:eastAsia="Arial" w:hAnsi="Times New Roman"/>
          <w:b/>
          <w:spacing w:val="-1"/>
          <w:sz w:val="22"/>
          <w:szCs w:val="22"/>
        </w:rPr>
        <w:t>DEVE</w:t>
      </w:r>
      <w:r w:rsidRPr="00E1487E">
        <w:rPr>
          <w:rFonts w:ascii="Times New Roman" w:eastAsia="Arial" w:hAnsi="Times New Roman"/>
          <w:b/>
          <w:sz w:val="22"/>
          <w:szCs w:val="22"/>
        </w:rPr>
        <w:t>LOP</w:t>
      </w:r>
      <w:r w:rsidRPr="00E1487E">
        <w:rPr>
          <w:rFonts w:ascii="Times New Roman" w:eastAsia="Arial" w:hAnsi="Times New Roman"/>
          <w:b/>
          <w:spacing w:val="-1"/>
          <w:sz w:val="22"/>
          <w:szCs w:val="22"/>
        </w:rPr>
        <w:t>PE</w:t>
      </w:r>
      <w:r w:rsidRPr="00E1487E">
        <w:rPr>
          <w:rFonts w:ascii="Times New Roman" w:eastAsia="Arial" w:hAnsi="Times New Roman"/>
          <w:b/>
          <w:spacing w:val="1"/>
          <w:sz w:val="22"/>
          <w:szCs w:val="22"/>
        </w:rPr>
        <w:t>M</w:t>
      </w:r>
      <w:r w:rsidRPr="00E1487E">
        <w:rPr>
          <w:rFonts w:ascii="Times New Roman" w:eastAsia="Arial" w:hAnsi="Times New Roman"/>
          <w:b/>
          <w:spacing w:val="-1"/>
          <w:sz w:val="22"/>
          <w:szCs w:val="22"/>
        </w:rPr>
        <w:t>EN</w:t>
      </w:r>
      <w:r w:rsidRPr="00E1487E">
        <w:rPr>
          <w:rFonts w:ascii="Times New Roman" w:eastAsia="Arial" w:hAnsi="Times New Roman"/>
          <w:b/>
          <w:sz w:val="22"/>
          <w:szCs w:val="22"/>
        </w:rPr>
        <w:t>T</w:t>
      </w:r>
    </w:p>
    <w:p w14:paraId="20CCA44A" w14:textId="77777777" w:rsidR="00B653C2" w:rsidRPr="00D612E3" w:rsidRDefault="00B653C2" w:rsidP="00B653C2">
      <w:pPr>
        <w:tabs>
          <w:tab w:val="left" w:pos="1222"/>
        </w:tabs>
        <w:jc w:val="center"/>
        <w:rPr>
          <w:rFonts w:ascii="Times New Roman" w:hAnsi="Times New Roman"/>
          <w:b/>
        </w:rPr>
      </w:pPr>
      <w:r w:rsidRPr="00D612E3">
        <w:rPr>
          <w:rFonts w:ascii="Times New Roman" w:hAnsi="Times New Roman"/>
          <w:b/>
        </w:rPr>
        <w:t xml:space="preserve">Avis d’Appel d’Offres </w:t>
      </w:r>
    </w:p>
    <w:p w14:paraId="65C773DC" w14:textId="77777777" w:rsidR="00B653C2" w:rsidRPr="00D612E3" w:rsidRDefault="00B653C2" w:rsidP="00B653C2">
      <w:pPr>
        <w:tabs>
          <w:tab w:val="left" w:pos="1222"/>
        </w:tabs>
        <w:jc w:val="center"/>
        <w:rPr>
          <w:rFonts w:ascii="Times New Roman" w:hAnsi="Times New Roman"/>
          <w:b/>
          <w:color w:val="000000" w:themeColor="text1"/>
        </w:rPr>
      </w:pPr>
      <w:r w:rsidRPr="00D612E3">
        <w:rPr>
          <w:rFonts w:ascii="Times New Roman" w:hAnsi="Times New Roman"/>
          <w:b/>
          <w:color w:val="000000" w:themeColor="text1"/>
        </w:rPr>
        <w:t>relatif à l’acquisition de matériels informatiques (lot1) et de mobiliers de bureau (lot2) pour l’organe d’exécution (OE) du Projet d’Aménagement de la Route Inter-Etats Labé-Mali-Kédougou-Fongolembi</w:t>
      </w:r>
    </w:p>
    <w:p w14:paraId="2FB4BBFA" w14:textId="77777777" w:rsidR="00B653C2" w:rsidRPr="00D612E3" w:rsidRDefault="00B653C2" w:rsidP="00B653C2">
      <w:pPr>
        <w:tabs>
          <w:tab w:val="left" w:pos="1222"/>
        </w:tabs>
        <w:rPr>
          <w:rFonts w:ascii="Times New Roman" w:hAnsi="Times New Roman"/>
        </w:rPr>
      </w:pPr>
      <w:r w:rsidRPr="00D612E3">
        <w:rPr>
          <w:rFonts w:ascii="Times New Roman" w:hAnsi="Times New Roman"/>
          <w:b/>
        </w:rPr>
        <w:t xml:space="preserve">IAS N° : </w:t>
      </w:r>
      <w:bookmarkStart w:id="0" w:name="_Hlk213147941"/>
      <w:r w:rsidRPr="00D612E3">
        <w:rPr>
          <w:rFonts w:ascii="Times New Roman" w:hAnsi="Times New Roman"/>
        </w:rPr>
        <w:t>002B/LM/UGP-BAD/2026</w:t>
      </w:r>
    </w:p>
    <w:bookmarkEnd w:id="0"/>
    <w:p w14:paraId="439C45BB" w14:textId="58128001" w:rsidR="00B653C2" w:rsidRPr="00D612E3" w:rsidRDefault="00B653C2" w:rsidP="00B653C2">
      <w:pPr>
        <w:pStyle w:val="Paragraphedeliste"/>
        <w:spacing w:after="0"/>
        <w:ind w:left="0"/>
        <w:jc w:val="both"/>
        <w:rPr>
          <w:rFonts w:ascii="Times New Roman" w:hAnsi="Times New Roman"/>
        </w:rPr>
      </w:pPr>
      <w:r w:rsidRPr="00D612E3">
        <w:rPr>
          <w:rFonts w:ascii="Times New Roman" w:hAnsi="Times New Roman"/>
          <w:b/>
        </w:rPr>
        <w:t xml:space="preserve">Acheteur : </w:t>
      </w:r>
      <w:r w:rsidRPr="00D612E3">
        <w:rPr>
          <w:rFonts w:ascii="Times New Roman" w:hAnsi="Times New Roman"/>
        </w:rPr>
        <w:t>Ministère des Infrastructures</w:t>
      </w:r>
    </w:p>
    <w:p w14:paraId="5D2BDD97" w14:textId="77777777" w:rsidR="00B653C2" w:rsidRPr="00D612E3" w:rsidRDefault="00B653C2" w:rsidP="00B653C2">
      <w:pPr>
        <w:pStyle w:val="Paragraphedeliste"/>
        <w:spacing w:after="0"/>
        <w:ind w:left="0"/>
        <w:jc w:val="both"/>
        <w:rPr>
          <w:rFonts w:ascii="Times New Roman" w:hAnsi="Times New Roman"/>
        </w:rPr>
      </w:pPr>
      <w:r w:rsidRPr="00D612E3">
        <w:rPr>
          <w:rFonts w:ascii="Times New Roman" w:hAnsi="Times New Roman"/>
          <w:b/>
        </w:rPr>
        <w:t>Projet :</w:t>
      </w:r>
      <w:r w:rsidRPr="00D612E3">
        <w:rPr>
          <w:rFonts w:ascii="Times New Roman" w:hAnsi="Times New Roman"/>
        </w:rPr>
        <w:t xml:space="preserve"> </w:t>
      </w:r>
      <w:bookmarkStart w:id="1" w:name="_Hlk213149190"/>
      <w:r w:rsidRPr="00D612E3">
        <w:rPr>
          <w:rFonts w:ascii="Times New Roman" w:hAnsi="Times New Roman"/>
        </w:rPr>
        <w:t>Projet d’Aménagement de la Route Inter-Etats Labé-Mali-Kédougou-Fongolembi</w:t>
      </w:r>
      <w:bookmarkEnd w:id="1"/>
    </w:p>
    <w:p w14:paraId="76E0CEB5" w14:textId="77777777" w:rsidR="00B653C2" w:rsidRPr="00D612E3" w:rsidRDefault="00B653C2" w:rsidP="00B653C2">
      <w:pPr>
        <w:pStyle w:val="Paragraphedeliste"/>
        <w:spacing w:before="120" w:after="0"/>
        <w:ind w:left="0"/>
        <w:jc w:val="both"/>
        <w:rPr>
          <w:rFonts w:ascii="Times New Roman" w:hAnsi="Times New Roman"/>
        </w:rPr>
      </w:pPr>
      <w:r w:rsidRPr="00D612E3">
        <w:rPr>
          <w:rFonts w:ascii="Times New Roman" w:hAnsi="Times New Roman"/>
          <w:b/>
        </w:rPr>
        <w:t>Intitulé du Marché :</w:t>
      </w:r>
      <w:r w:rsidRPr="00D612E3">
        <w:rPr>
          <w:rFonts w:ascii="Times New Roman" w:hAnsi="Times New Roman"/>
        </w:rPr>
        <w:t xml:space="preserve"> </w:t>
      </w:r>
    </w:p>
    <w:p w14:paraId="2966E254" w14:textId="77777777" w:rsidR="00B653C2" w:rsidRPr="00D612E3" w:rsidRDefault="00B653C2" w:rsidP="00B653C2">
      <w:pPr>
        <w:pStyle w:val="Paragraphedeliste"/>
        <w:numPr>
          <w:ilvl w:val="0"/>
          <w:numId w:val="2"/>
        </w:numPr>
        <w:spacing w:after="0"/>
        <w:jc w:val="both"/>
        <w:rPr>
          <w:rFonts w:ascii="Times New Roman" w:hAnsi="Times New Roman"/>
        </w:rPr>
      </w:pPr>
      <w:r w:rsidRPr="00D612E3">
        <w:rPr>
          <w:rFonts w:ascii="Times New Roman" w:hAnsi="Times New Roman"/>
        </w:rPr>
        <w:t>Lot1 : Acquisition de matériels informatiques pour l’organe d’exécution (OE)</w:t>
      </w:r>
    </w:p>
    <w:p w14:paraId="6B056BA2" w14:textId="77777777" w:rsidR="00B653C2" w:rsidRPr="00D612E3" w:rsidRDefault="00B653C2" w:rsidP="00B653C2">
      <w:pPr>
        <w:pStyle w:val="Paragraphedeliste"/>
        <w:numPr>
          <w:ilvl w:val="0"/>
          <w:numId w:val="2"/>
        </w:numPr>
        <w:spacing w:after="0"/>
        <w:jc w:val="both"/>
        <w:rPr>
          <w:rFonts w:ascii="Times New Roman" w:hAnsi="Times New Roman"/>
        </w:rPr>
      </w:pPr>
      <w:r w:rsidRPr="00D612E3">
        <w:rPr>
          <w:rFonts w:ascii="Times New Roman" w:hAnsi="Times New Roman"/>
        </w:rPr>
        <w:t xml:space="preserve">Lot2 : </w:t>
      </w:r>
      <w:bookmarkStart w:id="2" w:name="_Hlk188003886"/>
      <w:r w:rsidRPr="00D612E3">
        <w:rPr>
          <w:rFonts w:ascii="Times New Roman" w:hAnsi="Times New Roman"/>
        </w:rPr>
        <w:t xml:space="preserve">Acquisition de </w:t>
      </w:r>
      <w:bookmarkEnd w:id="2"/>
      <w:r w:rsidRPr="00D612E3">
        <w:rPr>
          <w:rFonts w:ascii="Times New Roman" w:hAnsi="Times New Roman"/>
        </w:rPr>
        <w:t>mobiliers de bureau pour l’organe d’exécution (OE).</w:t>
      </w:r>
    </w:p>
    <w:p w14:paraId="49FF0BC1" w14:textId="77777777" w:rsidR="00B653C2" w:rsidRPr="00D612E3" w:rsidRDefault="00B653C2" w:rsidP="00B653C2">
      <w:pPr>
        <w:pStyle w:val="Paragraphedeliste"/>
        <w:spacing w:after="0"/>
        <w:ind w:left="0"/>
        <w:jc w:val="both"/>
        <w:rPr>
          <w:rFonts w:ascii="Times New Roman" w:hAnsi="Times New Roman"/>
        </w:rPr>
      </w:pPr>
      <w:r w:rsidRPr="00D612E3">
        <w:rPr>
          <w:rFonts w:ascii="Times New Roman" w:hAnsi="Times New Roman"/>
          <w:b/>
        </w:rPr>
        <w:t xml:space="preserve">Pays : </w:t>
      </w:r>
      <w:r w:rsidRPr="00D612E3">
        <w:rPr>
          <w:rFonts w:ascii="Times New Roman" w:hAnsi="Times New Roman"/>
        </w:rPr>
        <w:t>République de Guinée</w:t>
      </w:r>
    </w:p>
    <w:p w14:paraId="5872C626" w14:textId="77777777" w:rsidR="00B653C2" w:rsidRPr="00D612E3" w:rsidRDefault="00B653C2" w:rsidP="00B653C2">
      <w:pPr>
        <w:pStyle w:val="Paragraphedeliste"/>
        <w:spacing w:after="0"/>
        <w:ind w:left="0"/>
        <w:jc w:val="both"/>
        <w:rPr>
          <w:rFonts w:ascii="Times New Roman" w:hAnsi="Times New Roman"/>
        </w:rPr>
      </w:pPr>
      <w:r w:rsidRPr="00D612E3">
        <w:rPr>
          <w:rFonts w:ascii="Times New Roman" w:hAnsi="Times New Roman"/>
          <w:b/>
        </w:rPr>
        <w:t xml:space="preserve">Prêt N° : </w:t>
      </w:r>
      <w:r w:rsidRPr="00D612E3">
        <w:rPr>
          <w:rFonts w:ascii="Times New Roman" w:hAnsi="Times New Roman"/>
        </w:rPr>
        <w:t>Prêt FAD   N° : 2100 15 00 44 847</w:t>
      </w:r>
    </w:p>
    <w:p w14:paraId="4628943E" w14:textId="77777777" w:rsidR="00B653C2" w:rsidRPr="00D612E3" w:rsidRDefault="00B653C2" w:rsidP="00B653C2">
      <w:pPr>
        <w:pStyle w:val="Paragraphedeliste"/>
        <w:spacing w:after="0"/>
        <w:ind w:left="0"/>
        <w:jc w:val="both"/>
        <w:rPr>
          <w:rFonts w:ascii="Times New Roman" w:hAnsi="Times New Roman"/>
        </w:rPr>
      </w:pPr>
      <w:r w:rsidRPr="00D612E3">
        <w:rPr>
          <w:rFonts w:ascii="Times New Roman" w:hAnsi="Times New Roman"/>
          <w:b/>
        </w:rPr>
        <w:t xml:space="preserve">Méthode de passation de marché : </w:t>
      </w:r>
      <w:r w:rsidRPr="00D612E3">
        <w:rPr>
          <w:rFonts w:ascii="Times New Roman" w:hAnsi="Times New Roman"/>
        </w:rPr>
        <w:t xml:space="preserve">Appel d’Offres Ouvert (AOO) </w:t>
      </w:r>
    </w:p>
    <w:p w14:paraId="1DCBF2B4" w14:textId="69EF7A2E" w:rsidR="00B653C2" w:rsidRPr="00D612E3" w:rsidRDefault="00B653C2" w:rsidP="00B653C2">
      <w:pPr>
        <w:pStyle w:val="Paragraphedeliste"/>
        <w:spacing w:before="120" w:after="0"/>
        <w:ind w:left="0"/>
        <w:jc w:val="both"/>
        <w:rPr>
          <w:rFonts w:ascii="Times New Roman" w:hAnsi="Times New Roman"/>
        </w:rPr>
      </w:pPr>
      <w:r w:rsidRPr="00D612E3">
        <w:rPr>
          <w:rFonts w:ascii="Times New Roman" w:hAnsi="Times New Roman"/>
          <w:b/>
        </w:rPr>
        <w:t xml:space="preserve">AOO N° : </w:t>
      </w:r>
      <w:r w:rsidRPr="00D612E3">
        <w:rPr>
          <w:rFonts w:ascii="Times New Roman" w:hAnsi="Times New Roman"/>
        </w:rPr>
        <w:t xml:space="preserve">002B/LM/UGP-BAD/2026 du </w:t>
      </w:r>
      <w:r w:rsidR="00E554B2" w:rsidRPr="00D612E3">
        <w:rPr>
          <w:rFonts w:ascii="Times New Roman" w:hAnsi="Times New Roman"/>
        </w:rPr>
        <w:t>1</w:t>
      </w:r>
      <w:r w:rsidR="00B31390">
        <w:rPr>
          <w:rFonts w:ascii="Times New Roman" w:hAnsi="Times New Roman"/>
        </w:rPr>
        <w:t>9</w:t>
      </w:r>
      <w:r w:rsidR="00E554B2" w:rsidRPr="00D612E3">
        <w:rPr>
          <w:rFonts w:ascii="Times New Roman" w:hAnsi="Times New Roman"/>
        </w:rPr>
        <w:t xml:space="preserve"> Mars 2026</w:t>
      </w:r>
    </w:p>
    <w:p w14:paraId="342AB79C" w14:textId="77777777" w:rsidR="00B653C2" w:rsidRPr="00D612E3" w:rsidRDefault="00B653C2" w:rsidP="00B653C2">
      <w:pPr>
        <w:pStyle w:val="Paragraphedeliste"/>
        <w:spacing w:before="120" w:after="120"/>
        <w:ind w:left="0"/>
        <w:jc w:val="both"/>
        <w:rPr>
          <w:rFonts w:ascii="Times New Roman" w:hAnsi="Times New Roman"/>
        </w:rPr>
      </w:pPr>
    </w:p>
    <w:p w14:paraId="65D2BBCE" w14:textId="77777777" w:rsidR="00B653C2" w:rsidRPr="00D612E3" w:rsidRDefault="00B653C2" w:rsidP="00B653C2">
      <w:pPr>
        <w:pStyle w:val="Paragraphedeliste"/>
        <w:numPr>
          <w:ilvl w:val="0"/>
          <w:numId w:val="1"/>
        </w:numPr>
        <w:spacing w:before="240" w:after="80" w:line="276" w:lineRule="auto"/>
        <w:ind w:left="360"/>
        <w:jc w:val="both"/>
        <w:rPr>
          <w:rFonts w:ascii="Times New Roman" w:hAnsi="Times New Roman"/>
          <w:b/>
        </w:rPr>
      </w:pPr>
      <w:r w:rsidRPr="00D612E3">
        <w:rPr>
          <w:rFonts w:ascii="Times New Roman" w:hAnsi="Times New Roman"/>
        </w:rPr>
        <w:t>La République de Guinée a reçu des financements de la Banque Africaine de Développement (BAD) ci-après dénommée la Banque pour financer le Projet d’Aménagement de la Route Inter-Etats Labé-Mali-Kédougou-Fongolembi et a l’intention d’utiliser une partie de ce prêt pour effectuer des paiements au titre du Marché relatif</w:t>
      </w:r>
      <w:bookmarkStart w:id="3" w:name="_Hlk188007747"/>
      <w:r w:rsidRPr="00D612E3">
        <w:rPr>
          <w:rFonts w:ascii="Times New Roman" w:hAnsi="Times New Roman"/>
          <w:b/>
        </w:rPr>
        <w:t xml:space="preserve"> à l’acquisition de matériels informatiques (lot1) et de mobiliers de bureau (lot2) pour l’organe d’exécution (OE) du Projet.</w:t>
      </w:r>
    </w:p>
    <w:bookmarkEnd w:id="3"/>
    <w:p w14:paraId="607BA966" w14:textId="77777777" w:rsidR="00B653C2" w:rsidRPr="00D612E3" w:rsidRDefault="00B653C2" w:rsidP="00B653C2">
      <w:pPr>
        <w:pStyle w:val="Paragraphedeliste"/>
        <w:spacing w:before="240" w:line="276" w:lineRule="auto"/>
        <w:ind w:left="0"/>
        <w:jc w:val="both"/>
        <w:rPr>
          <w:rFonts w:ascii="Times New Roman" w:hAnsi="Times New Roman"/>
        </w:rPr>
      </w:pPr>
    </w:p>
    <w:p w14:paraId="031E868D" w14:textId="12371596" w:rsidR="00B653C2" w:rsidRPr="00D612E3" w:rsidRDefault="00B653C2" w:rsidP="00B653C2">
      <w:pPr>
        <w:pStyle w:val="Paragraphedeliste"/>
        <w:numPr>
          <w:ilvl w:val="0"/>
          <w:numId w:val="1"/>
        </w:numPr>
        <w:spacing w:after="240"/>
        <w:ind w:left="360"/>
        <w:jc w:val="both"/>
        <w:rPr>
          <w:rFonts w:ascii="Times New Roman" w:hAnsi="Times New Roman"/>
          <w:b/>
        </w:rPr>
      </w:pPr>
      <w:r w:rsidRPr="00D612E3">
        <w:rPr>
          <w:rFonts w:ascii="Times New Roman" w:hAnsi="Times New Roman"/>
        </w:rPr>
        <w:t xml:space="preserve">Le Ministère des Infrastructures à travers l’Unité de Gestion des Projets Transports (UGP-BAD) sollicite des offres sous pli fermé de la part des soumissionnaires éligibles et répondant aux qualifications requises pour fournir : </w:t>
      </w:r>
      <w:r w:rsidRPr="00D612E3">
        <w:rPr>
          <w:rFonts w:ascii="Times New Roman" w:hAnsi="Times New Roman"/>
          <w:b/>
        </w:rPr>
        <w:t xml:space="preserve">des Matériels informatiques (lot1) et des mobiliers de bureau (lot2) pour l’organe d’exécution (OE), </w:t>
      </w:r>
      <w:r w:rsidRPr="00D612E3">
        <w:rPr>
          <w:rFonts w:ascii="Times New Roman" w:hAnsi="Times New Roman"/>
        </w:rPr>
        <w:t xml:space="preserve">décrit dans le Dossier d’Appel d’Offres (DAO) et qui sera livré dans un délai de </w:t>
      </w:r>
      <w:r w:rsidRPr="00D612E3">
        <w:rPr>
          <w:rFonts w:ascii="Times New Roman" w:hAnsi="Times New Roman"/>
          <w:b/>
        </w:rPr>
        <w:t>soixante (60) jour sur le site du projet à Conakry.</w:t>
      </w:r>
    </w:p>
    <w:p w14:paraId="451C7031" w14:textId="77777777" w:rsidR="00B653C2" w:rsidRPr="00D612E3" w:rsidRDefault="00B653C2" w:rsidP="00B653C2">
      <w:pPr>
        <w:pStyle w:val="Paragraphedeliste"/>
        <w:spacing w:before="240" w:after="80" w:line="360" w:lineRule="auto"/>
        <w:ind w:left="0"/>
        <w:jc w:val="both"/>
        <w:rPr>
          <w:rFonts w:ascii="Times New Roman" w:hAnsi="Times New Roman"/>
        </w:rPr>
      </w:pPr>
      <w:r w:rsidRPr="00D612E3">
        <w:rPr>
          <w:rFonts w:ascii="Times New Roman" w:hAnsi="Times New Roman"/>
        </w:rPr>
        <w:t xml:space="preserve"> </w:t>
      </w:r>
    </w:p>
    <w:p w14:paraId="6F08DEA4" w14:textId="77777777" w:rsidR="00B653C2" w:rsidRPr="00D612E3" w:rsidRDefault="00B653C2" w:rsidP="00B653C2">
      <w:pPr>
        <w:pStyle w:val="Paragraphedeliste"/>
        <w:numPr>
          <w:ilvl w:val="0"/>
          <w:numId w:val="1"/>
        </w:numPr>
        <w:spacing w:before="240" w:after="0" w:line="276" w:lineRule="auto"/>
        <w:ind w:left="360"/>
        <w:jc w:val="both"/>
        <w:rPr>
          <w:rFonts w:ascii="Times New Roman" w:hAnsi="Times New Roman"/>
        </w:rPr>
      </w:pPr>
      <w:r w:rsidRPr="00D612E3">
        <w:rPr>
          <w:rFonts w:ascii="Times New Roman" w:hAnsi="Times New Roman"/>
        </w:rPr>
        <w:t xml:space="preserve">La procédure sera conduite par mise en concurrence internationale en recourant à un Appel d’Offres Ouvert (AOO) telle que définie dans le Cadre de passation des marchés pour les opérations financées par le Groupe de la Banque, édition octobre 2015 et ouverte à tous les soumissionnaires de pays éligibles tels que définis dans le Cadre de Passation des Marchés. </w:t>
      </w:r>
    </w:p>
    <w:p w14:paraId="42523E6D" w14:textId="77777777" w:rsidR="00B653C2" w:rsidRPr="00D612E3" w:rsidRDefault="00B653C2" w:rsidP="00B653C2">
      <w:pPr>
        <w:pStyle w:val="Paragraphedeliste"/>
        <w:rPr>
          <w:rFonts w:ascii="Times New Roman" w:hAnsi="Times New Roman"/>
        </w:rPr>
      </w:pPr>
    </w:p>
    <w:p w14:paraId="6831B762" w14:textId="77777777" w:rsidR="00B653C2" w:rsidRPr="00D612E3" w:rsidRDefault="00B653C2" w:rsidP="00B653C2">
      <w:pPr>
        <w:pStyle w:val="Paragraphedeliste"/>
        <w:numPr>
          <w:ilvl w:val="0"/>
          <w:numId w:val="1"/>
        </w:numPr>
        <w:spacing w:after="0" w:line="276" w:lineRule="auto"/>
        <w:ind w:left="360"/>
        <w:jc w:val="both"/>
        <w:rPr>
          <w:rFonts w:ascii="Times New Roman" w:hAnsi="Times New Roman"/>
        </w:rPr>
      </w:pPr>
      <w:r w:rsidRPr="00D612E3">
        <w:rPr>
          <w:rFonts w:ascii="Times New Roman" w:hAnsi="Times New Roman"/>
        </w:rPr>
        <w:t xml:space="preserve">Les Soumissionnaires intéressés et éligibles peuvent obtenir des informations auprès de </w:t>
      </w:r>
      <w:r w:rsidRPr="00D612E3">
        <w:rPr>
          <w:rFonts w:ascii="Times New Roman" w:hAnsi="Times New Roman"/>
          <w:b/>
        </w:rPr>
        <w:t xml:space="preserve">l’Unité de Gestion des Projets Transports (UGP-BAD), sis à l’immeuble MISS POKOU, Appartement 7A, Quartier Téminètaye, Commune de Kaloum, Conakry, République de Guinée. E-mail : </w:t>
      </w:r>
      <w:hyperlink r:id="rId8" w:history="1">
        <w:r w:rsidRPr="00D612E3">
          <w:rPr>
            <w:rStyle w:val="Lienhypertexte"/>
            <w:rFonts w:ascii="Times New Roman" w:hAnsi="Times New Roman"/>
          </w:rPr>
          <w:t>amara.diabate@ageroute.gov.gn</w:t>
        </w:r>
      </w:hyperlink>
      <w:r w:rsidRPr="00D612E3">
        <w:rPr>
          <w:rFonts w:ascii="Times New Roman" w:hAnsi="Times New Roman"/>
          <w:b/>
        </w:rPr>
        <w:t xml:space="preserve">  et </w:t>
      </w:r>
      <w:hyperlink r:id="rId9" w:history="1">
        <w:r w:rsidRPr="00D612E3">
          <w:rPr>
            <w:rStyle w:val="Lienhypertexte"/>
            <w:rFonts w:ascii="Times New Roman" w:hAnsi="Times New Roman"/>
          </w:rPr>
          <w:t>tamim-</w:t>
        </w:r>
        <w:r w:rsidRPr="00D612E3">
          <w:rPr>
            <w:rStyle w:val="Lienhypertexte"/>
            <w:rFonts w:ascii="Times New Roman" w:hAnsi="Times New Roman"/>
          </w:rPr>
          <w:lastRenderedPageBreak/>
          <w:t>dar.sylla@ageroute.gov.gn</w:t>
        </w:r>
      </w:hyperlink>
      <w:r w:rsidRPr="00D612E3">
        <w:rPr>
          <w:rFonts w:ascii="Times New Roman" w:hAnsi="Times New Roman"/>
          <w:b/>
        </w:rPr>
        <w:t xml:space="preserve"> , Tél : (+224) 628 68 77 37/624 63 19 53</w:t>
      </w:r>
      <w:r w:rsidRPr="00D612E3">
        <w:rPr>
          <w:rFonts w:ascii="Times New Roman" w:hAnsi="Times New Roman"/>
        </w:rPr>
        <w:t xml:space="preserve"> et prendre connaissance des documents d’appel d’offres à l’adresse mentionnée ci-dessus durant les heures de travail de 08 heures à 17 heures 30 minutes.</w:t>
      </w:r>
    </w:p>
    <w:p w14:paraId="565517FF" w14:textId="77777777" w:rsidR="00B653C2" w:rsidRPr="00D612E3" w:rsidRDefault="00B653C2" w:rsidP="00B653C2">
      <w:pPr>
        <w:pStyle w:val="Paragraphedeliste"/>
        <w:spacing w:before="240" w:line="276" w:lineRule="auto"/>
        <w:ind w:left="1416"/>
        <w:jc w:val="both"/>
        <w:rPr>
          <w:rFonts w:ascii="Times New Roman" w:hAnsi="Times New Roman"/>
        </w:rPr>
      </w:pPr>
    </w:p>
    <w:p w14:paraId="198672F9" w14:textId="77777777" w:rsidR="00B653C2" w:rsidRPr="00D612E3" w:rsidRDefault="00B653C2" w:rsidP="00B653C2">
      <w:pPr>
        <w:pStyle w:val="Paragraphedeliste"/>
        <w:spacing w:before="240" w:line="276" w:lineRule="auto"/>
        <w:ind w:left="629"/>
        <w:jc w:val="both"/>
        <w:rPr>
          <w:rFonts w:ascii="Times New Roman" w:hAnsi="Times New Roman"/>
        </w:rPr>
      </w:pPr>
    </w:p>
    <w:p w14:paraId="55F56C0F" w14:textId="77777777" w:rsidR="00B653C2" w:rsidRPr="00D612E3" w:rsidRDefault="00B653C2" w:rsidP="00B653C2">
      <w:pPr>
        <w:pStyle w:val="Paragraphedeliste"/>
        <w:numPr>
          <w:ilvl w:val="0"/>
          <w:numId w:val="1"/>
        </w:numPr>
        <w:spacing w:before="240" w:after="80" w:line="276" w:lineRule="auto"/>
        <w:ind w:left="360"/>
        <w:jc w:val="both"/>
        <w:rPr>
          <w:rFonts w:ascii="Times New Roman" w:hAnsi="Times New Roman"/>
          <w:b/>
        </w:rPr>
      </w:pPr>
      <w:r w:rsidRPr="00D612E3">
        <w:rPr>
          <w:rFonts w:ascii="Times New Roman" w:hAnsi="Times New Roman"/>
        </w:rPr>
        <w:t xml:space="preserve">Le Dossier d’Appel d’offres en langue française peut être acheté par tout soumissionnaire intéressé contre un paiement non remboursable d’un million francs guinéens (1 000 000 GNF). La méthode de paiement sera par versement aux comptes bancaires ci-après </w:t>
      </w:r>
    </w:p>
    <w:p w14:paraId="433F5EBB" w14:textId="77777777" w:rsidR="00B653C2" w:rsidRPr="00D612E3" w:rsidRDefault="00B653C2" w:rsidP="00B653C2">
      <w:pPr>
        <w:pStyle w:val="Paragraphedeliste"/>
        <w:numPr>
          <w:ilvl w:val="0"/>
          <w:numId w:val="3"/>
        </w:numPr>
        <w:spacing w:after="0" w:line="240" w:lineRule="auto"/>
        <w:jc w:val="both"/>
        <w:rPr>
          <w:rFonts w:ascii="Times New Roman" w:hAnsi="Times New Roman"/>
        </w:rPr>
      </w:pPr>
      <w:r w:rsidRPr="00D612E3">
        <w:rPr>
          <w:rFonts w:ascii="Times New Roman" w:hAnsi="Times New Roman"/>
        </w:rPr>
        <w:t>50% au compte N° 2011 000 136 « Receveur Central du Trésor » ;</w:t>
      </w:r>
    </w:p>
    <w:p w14:paraId="7121F942" w14:textId="77777777" w:rsidR="00B653C2" w:rsidRPr="00D612E3" w:rsidRDefault="00B653C2" w:rsidP="00B653C2">
      <w:pPr>
        <w:pStyle w:val="Paragraphedeliste"/>
        <w:numPr>
          <w:ilvl w:val="0"/>
          <w:numId w:val="3"/>
        </w:numPr>
        <w:spacing w:after="0" w:line="240" w:lineRule="auto"/>
        <w:jc w:val="both"/>
        <w:rPr>
          <w:rFonts w:ascii="Times New Roman" w:hAnsi="Times New Roman"/>
        </w:rPr>
      </w:pPr>
      <w:r w:rsidRPr="00D612E3">
        <w:rPr>
          <w:rFonts w:ascii="Times New Roman" w:hAnsi="Times New Roman"/>
        </w:rPr>
        <w:t>30% au compte N° 2011 000 407 de l’ARMP, ouvert à la BCRG ;</w:t>
      </w:r>
    </w:p>
    <w:p w14:paraId="3F644433" w14:textId="77777777" w:rsidR="00B653C2" w:rsidRPr="00D612E3" w:rsidRDefault="00B653C2" w:rsidP="00B653C2">
      <w:pPr>
        <w:pStyle w:val="Paragraphedeliste"/>
        <w:numPr>
          <w:ilvl w:val="0"/>
          <w:numId w:val="3"/>
        </w:numPr>
        <w:spacing w:after="0" w:line="240" w:lineRule="auto"/>
        <w:jc w:val="both"/>
        <w:rPr>
          <w:rFonts w:ascii="Times New Roman" w:hAnsi="Times New Roman"/>
        </w:rPr>
      </w:pPr>
      <w:r w:rsidRPr="00D612E3">
        <w:rPr>
          <w:rFonts w:ascii="Times New Roman" w:hAnsi="Times New Roman"/>
        </w:rPr>
        <w:t>20% en espèces.</w:t>
      </w:r>
    </w:p>
    <w:p w14:paraId="04992FAC" w14:textId="77777777" w:rsidR="00B653C2" w:rsidRPr="00D612E3" w:rsidRDefault="00B653C2" w:rsidP="00B653C2">
      <w:pPr>
        <w:spacing w:before="120" w:after="120"/>
        <w:jc w:val="both"/>
        <w:rPr>
          <w:rFonts w:ascii="Times New Roman" w:hAnsi="Times New Roman"/>
        </w:rPr>
      </w:pPr>
      <w:r w:rsidRPr="00D612E3">
        <w:rPr>
          <w:rFonts w:ascii="Times New Roman" w:hAnsi="Times New Roman"/>
        </w:rPr>
        <w:t>Le document d’Appel d’offres sera remis aux candidats intéressés, sur présentation des reçus de versement ou adressé par mail à l’adresse du soumissionnaire.</w:t>
      </w:r>
    </w:p>
    <w:p w14:paraId="03C6967B" w14:textId="2CC1C44F" w:rsidR="00B653C2" w:rsidRPr="00D612E3" w:rsidRDefault="00B653C2" w:rsidP="00B653C2">
      <w:pPr>
        <w:pStyle w:val="Paragraphedeliste"/>
        <w:numPr>
          <w:ilvl w:val="0"/>
          <w:numId w:val="1"/>
        </w:numPr>
        <w:spacing w:before="120" w:after="120" w:line="240" w:lineRule="auto"/>
        <w:ind w:left="360"/>
        <w:jc w:val="both"/>
        <w:rPr>
          <w:rFonts w:ascii="Times New Roman" w:hAnsi="Times New Roman"/>
          <w:b/>
        </w:rPr>
      </w:pPr>
      <w:bookmarkStart w:id="4" w:name="_Hlk25266127"/>
      <w:r w:rsidRPr="00D612E3">
        <w:rPr>
          <w:rFonts w:ascii="Times New Roman" w:hAnsi="Times New Roman"/>
        </w:rPr>
        <w:t xml:space="preserve">Les offres doivent être remises à l'adresse ci-dessus au plus tard </w:t>
      </w:r>
      <w:r w:rsidRPr="00D612E3">
        <w:rPr>
          <w:rFonts w:ascii="Times New Roman" w:hAnsi="Times New Roman"/>
          <w:b/>
        </w:rPr>
        <w:t>le 23 Avril 2026 à 10 heures 30 minutes.</w:t>
      </w:r>
      <w:r w:rsidRPr="00D612E3">
        <w:rPr>
          <w:rFonts w:ascii="Times New Roman" w:hAnsi="Times New Roman"/>
          <w:color w:val="0070C0"/>
        </w:rPr>
        <w:t xml:space="preserve"> </w:t>
      </w:r>
      <w:r w:rsidRPr="00D612E3">
        <w:rPr>
          <w:rFonts w:ascii="Times New Roman" w:hAnsi="Times New Roman"/>
        </w:rPr>
        <w:t xml:space="preserve">La soumission des offres par voie électronique </w:t>
      </w:r>
      <w:r w:rsidRPr="00D612E3">
        <w:rPr>
          <w:rFonts w:ascii="Times New Roman" w:hAnsi="Times New Roman"/>
          <w:b/>
        </w:rPr>
        <w:t>« ne sera pas »</w:t>
      </w:r>
      <w:r w:rsidRPr="00D612E3">
        <w:rPr>
          <w:rFonts w:ascii="Times New Roman" w:hAnsi="Times New Roman"/>
        </w:rPr>
        <w:t xml:space="preserve"> autorisée. Les offres remises en retard ne seront pas acceptées. Les offres seront ouvertes en présence des représentants des soumissionnaires et des personnes présentes à l’adresse mentionnée ci-dessus à </w:t>
      </w:r>
      <w:r w:rsidRPr="00D612E3">
        <w:rPr>
          <w:rFonts w:ascii="Times New Roman" w:hAnsi="Times New Roman"/>
          <w:b/>
        </w:rPr>
        <w:t>1</w:t>
      </w:r>
      <w:r w:rsidR="004946EA">
        <w:rPr>
          <w:rFonts w:ascii="Times New Roman" w:hAnsi="Times New Roman"/>
          <w:b/>
        </w:rPr>
        <w:t>1</w:t>
      </w:r>
      <w:r w:rsidRPr="00D612E3">
        <w:rPr>
          <w:rFonts w:ascii="Times New Roman" w:hAnsi="Times New Roman"/>
          <w:b/>
        </w:rPr>
        <w:t xml:space="preserve"> heures 00. </w:t>
      </w:r>
    </w:p>
    <w:p w14:paraId="74879A9D" w14:textId="77777777" w:rsidR="00B653C2" w:rsidRPr="00D612E3" w:rsidRDefault="00B653C2" w:rsidP="00B653C2">
      <w:pPr>
        <w:pStyle w:val="Paragraphedeliste"/>
        <w:spacing w:before="120" w:after="120"/>
        <w:jc w:val="both"/>
        <w:rPr>
          <w:rFonts w:ascii="Times New Roman" w:hAnsi="Times New Roman"/>
          <w:b/>
        </w:rPr>
      </w:pPr>
    </w:p>
    <w:bookmarkEnd w:id="4"/>
    <w:p w14:paraId="11436024" w14:textId="77777777" w:rsidR="00B653C2" w:rsidRPr="00D612E3" w:rsidRDefault="00B653C2" w:rsidP="00B653C2">
      <w:pPr>
        <w:pStyle w:val="Paragraphedeliste"/>
        <w:numPr>
          <w:ilvl w:val="0"/>
          <w:numId w:val="1"/>
        </w:numPr>
        <w:tabs>
          <w:tab w:val="right" w:pos="4860"/>
        </w:tabs>
        <w:spacing w:before="80" w:after="80" w:line="240" w:lineRule="auto"/>
        <w:ind w:left="360"/>
        <w:contextualSpacing w:val="0"/>
        <w:jc w:val="both"/>
        <w:rPr>
          <w:rFonts w:ascii="Times New Roman" w:hAnsi="Times New Roman"/>
          <w:b/>
        </w:rPr>
      </w:pPr>
      <w:r w:rsidRPr="00D612E3">
        <w:rPr>
          <w:rFonts w:ascii="Times New Roman" w:hAnsi="Times New Roman"/>
        </w:rPr>
        <w:t xml:space="preserve">Les offres doivent être accompagnées </w:t>
      </w:r>
      <w:r w:rsidRPr="00D612E3">
        <w:rPr>
          <w:rFonts w:ascii="Times New Roman" w:hAnsi="Times New Roman"/>
          <w:b/>
        </w:rPr>
        <w:t xml:space="preserve">d’« une Garantie bancaire de l’offre » pour un montant de : </w:t>
      </w:r>
      <w:r w:rsidRPr="00D612E3">
        <w:rPr>
          <w:rFonts w:ascii="Times New Roman" w:hAnsi="Times New Roman"/>
        </w:rPr>
        <w:t>lot 1(acquisition des équipements informatiques)</w:t>
      </w:r>
      <w:r w:rsidRPr="00D612E3">
        <w:rPr>
          <w:rFonts w:ascii="Times New Roman" w:hAnsi="Times New Roman"/>
          <w:b/>
        </w:rPr>
        <w:t xml:space="preserve">, Vingt Six Millions Neuf Cent Vingt Six Mille Trois Cent Vingt Francs Guinéens (26 926 320 GNF) </w:t>
      </w:r>
      <w:r w:rsidRPr="00D612E3">
        <w:rPr>
          <w:rFonts w:ascii="Times New Roman" w:hAnsi="Times New Roman"/>
        </w:rPr>
        <w:t>et lot 2 (</w:t>
      </w:r>
      <w:bookmarkStart w:id="5" w:name="_Hlk213319886"/>
      <w:r w:rsidRPr="00D612E3">
        <w:rPr>
          <w:rFonts w:ascii="Times New Roman" w:hAnsi="Times New Roman"/>
        </w:rPr>
        <w:t xml:space="preserve">acquisition des </w:t>
      </w:r>
      <w:bookmarkEnd w:id="5"/>
      <w:r w:rsidRPr="00D612E3">
        <w:rPr>
          <w:rFonts w:ascii="Times New Roman" w:hAnsi="Times New Roman"/>
        </w:rPr>
        <w:t>mobiliers de bureau),</w:t>
      </w:r>
      <w:r w:rsidRPr="00D612E3">
        <w:rPr>
          <w:rFonts w:ascii="Times New Roman" w:hAnsi="Times New Roman"/>
          <w:b/>
        </w:rPr>
        <w:t xml:space="preserve"> Treize Millions Quatre Cent Soixante Trois Mille Cent Soixante Francs Guinéens (13 463 160 GNF). </w:t>
      </w:r>
      <w:r w:rsidRPr="00D612E3">
        <w:rPr>
          <w:rFonts w:ascii="Times New Roman" w:hAnsi="Times New Roman"/>
        </w:rPr>
        <w:t>La garantie d’offre sera valide jusqu’au 28ème jour suivant la date limite de validité de l’offre</w:t>
      </w:r>
      <w:r w:rsidRPr="00D612E3">
        <w:rPr>
          <w:rFonts w:ascii="Times New Roman" w:hAnsi="Times New Roman"/>
          <w:b/>
        </w:rPr>
        <w:t>.</w:t>
      </w:r>
    </w:p>
    <w:p w14:paraId="60CBF628" w14:textId="77777777" w:rsidR="00B653C2" w:rsidRPr="00D612E3" w:rsidRDefault="00B653C2" w:rsidP="00B653C2">
      <w:pPr>
        <w:pStyle w:val="Paragraphedeliste"/>
        <w:tabs>
          <w:tab w:val="right" w:pos="4860"/>
        </w:tabs>
        <w:spacing w:before="80" w:after="80" w:line="240" w:lineRule="auto"/>
        <w:ind w:left="360"/>
        <w:contextualSpacing w:val="0"/>
        <w:jc w:val="both"/>
        <w:rPr>
          <w:rFonts w:ascii="Times New Roman" w:hAnsi="Times New Roman"/>
          <w:b/>
        </w:rPr>
      </w:pPr>
    </w:p>
    <w:p w14:paraId="2FD7FFE3" w14:textId="283A9A58" w:rsidR="00B653C2" w:rsidRPr="00D612E3" w:rsidRDefault="00B653C2" w:rsidP="00B653C2">
      <w:pPr>
        <w:pStyle w:val="Paragraphedeliste"/>
        <w:spacing w:before="120" w:after="120" w:line="240" w:lineRule="auto"/>
        <w:ind w:left="629"/>
        <w:contextualSpacing w:val="0"/>
        <w:jc w:val="right"/>
        <w:rPr>
          <w:rFonts w:ascii="Times New Roman" w:hAnsi="Times New Roman"/>
          <w:b/>
          <w:u w:val="single"/>
        </w:rPr>
      </w:pPr>
      <w:r w:rsidRPr="00D612E3">
        <w:rPr>
          <w:rFonts w:ascii="Times New Roman" w:hAnsi="Times New Roman"/>
          <w:b/>
          <w:u w:val="single"/>
        </w:rPr>
        <w:t>Le Coordonnateur</w:t>
      </w:r>
      <w:r w:rsidR="00C2183E">
        <w:rPr>
          <w:rFonts w:ascii="Times New Roman" w:hAnsi="Times New Roman"/>
          <w:b/>
          <w:u w:val="single"/>
        </w:rPr>
        <w:t xml:space="preserve"> Adjoint</w:t>
      </w:r>
      <w:r w:rsidRPr="00D612E3">
        <w:rPr>
          <w:rFonts w:ascii="Times New Roman" w:hAnsi="Times New Roman"/>
          <w:b/>
          <w:u w:val="single"/>
        </w:rPr>
        <w:t xml:space="preserve"> UGP-BAD</w:t>
      </w:r>
    </w:p>
    <w:p w14:paraId="0C8070D3" w14:textId="77777777" w:rsidR="00B653C2" w:rsidRPr="00D612E3" w:rsidRDefault="00B653C2" w:rsidP="00B653C2">
      <w:pPr>
        <w:pStyle w:val="Paragraphedeliste"/>
        <w:spacing w:before="120" w:after="120" w:line="240" w:lineRule="auto"/>
        <w:ind w:left="629"/>
        <w:contextualSpacing w:val="0"/>
        <w:jc w:val="right"/>
        <w:rPr>
          <w:rFonts w:ascii="Times New Roman" w:hAnsi="Times New Roman"/>
          <w:b/>
          <w:u w:val="single"/>
        </w:rPr>
      </w:pPr>
    </w:p>
    <w:p w14:paraId="3674FB76" w14:textId="77777777" w:rsidR="00B653C2" w:rsidRDefault="00B653C2" w:rsidP="00B653C2">
      <w:pPr>
        <w:pStyle w:val="Paragraphedeliste"/>
        <w:spacing w:before="120" w:after="120" w:line="240" w:lineRule="auto"/>
        <w:ind w:left="629"/>
        <w:contextualSpacing w:val="0"/>
        <w:jc w:val="right"/>
        <w:rPr>
          <w:rFonts w:ascii="Times New Roman" w:hAnsi="Times New Roman"/>
          <w:b/>
          <w:u w:val="single"/>
        </w:rPr>
      </w:pPr>
    </w:p>
    <w:p w14:paraId="7832D536" w14:textId="77777777" w:rsidR="00C65C80" w:rsidRPr="00D612E3" w:rsidRDefault="00C65C80" w:rsidP="00B653C2">
      <w:pPr>
        <w:pStyle w:val="Paragraphedeliste"/>
        <w:spacing w:before="120" w:after="120" w:line="240" w:lineRule="auto"/>
        <w:ind w:left="629"/>
        <w:contextualSpacing w:val="0"/>
        <w:jc w:val="right"/>
        <w:rPr>
          <w:rFonts w:ascii="Times New Roman" w:hAnsi="Times New Roman"/>
          <w:b/>
          <w:u w:val="single"/>
        </w:rPr>
      </w:pPr>
    </w:p>
    <w:p w14:paraId="40DFA92C" w14:textId="77777777" w:rsidR="00B653C2" w:rsidRPr="00D612E3" w:rsidRDefault="00B653C2" w:rsidP="00B653C2">
      <w:pPr>
        <w:pStyle w:val="Paragraphedeliste"/>
        <w:spacing w:before="120" w:after="120" w:line="240" w:lineRule="auto"/>
        <w:ind w:left="629"/>
        <w:contextualSpacing w:val="0"/>
        <w:jc w:val="right"/>
        <w:rPr>
          <w:rFonts w:ascii="Times New Roman" w:hAnsi="Times New Roman"/>
          <w:b/>
          <w:u w:val="single"/>
        </w:rPr>
      </w:pPr>
    </w:p>
    <w:p w14:paraId="5E5FEA6A" w14:textId="5460C50E" w:rsidR="00AC37D3" w:rsidRPr="00D612E3" w:rsidRDefault="00C65C80" w:rsidP="00C65C80">
      <w:pPr>
        <w:jc w:val="right"/>
        <w:rPr>
          <w:rFonts w:ascii="Times New Roman" w:hAnsi="Times New Roman"/>
        </w:rPr>
      </w:pPr>
      <w:r>
        <w:rPr>
          <w:rFonts w:ascii="Times New Roman" w:hAnsi="Times New Roman"/>
          <w:b/>
          <w:u w:val="single"/>
        </w:rPr>
        <w:t>B</w:t>
      </w:r>
      <w:r w:rsidRPr="00C65C80">
        <w:rPr>
          <w:rFonts w:ascii="Times New Roman" w:hAnsi="Times New Roman"/>
          <w:b/>
          <w:u w:val="single"/>
        </w:rPr>
        <w:t>arr</w:t>
      </w:r>
      <w:r>
        <w:rPr>
          <w:rFonts w:ascii="Times New Roman" w:hAnsi="Times New Roman"/>
          <w:b/>
          <w:u w:val="single"/>
        </w:rPr>
        <w:t xml:space="preserve">è </w:t>
      </w:r>
      <w:r w:rsidRPr="00C65C80">
        <w:rPr>
          <w:rFonts w:ascii="Times New Roman" w:hAnsi="Times New Roman"/>
          <w:b/>
          <w:u w:val="single"/>
        </w:rPr>
        <w:t>GOEPOGUI</w:t>
      </w:r>
    </w:p>
    <w:sectPr w:rsidR="00AC37D3" w:rsidRPr="00D612E3" w:rsidSect="00C65C8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438"/>
    <w:multiLevelType w:val="hybridMultilevel"/>
    <w:tmpl w:val="B3E62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5A1697"/>
    <w:multiLevelType w:val="hybridMultilevel"/>
    <w:tmpl w:val="CBFC2774"/>
    <w:lvl w:ilvl="0" w:tplc="04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56F77DD5"/>
    <w:multiLevelType w:val="hybridMultilevel"/>
    <w:tmpl w:val="515ED734"/>
    <w:lvl w:ilvl="0" w:tplc="5D54DCF6">
      <w:start w:val="1"/>
      <w:numFmt w:val="bullet"/>
      <w:lvlText w:val="-"/>
      <w:lvlJc w:val="left"/>
      <w:pPr>
        <w:ind w:left="720" w:hanging="360"/>
      </w:pPr>
      <w:rPr>
        <w:rFonts w:ascii="Times New Roman" w:eastAsia="Calibri" w:hAnsi="Times New Roman" w:cs="Times New Roman"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710438">
    <w:abstractNumId w:val="0"/>
  </w:num>
  <w:num w:numId="2" w16cid:durableId="1454405901">
    <w:abstractNumId w:val="2"/>
  </w:num>
  <w:num w:numId="3" w16cid:durableId="551386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C2"/>
    <w:rsid w:val="0009289B"/>
    <w:rsid w:val="002801B4"/>
    <w:rsid w:val="002961E7"/>
    <w:rsid w:val="004946EA"/>
    <w:rsid w:val="005822CE"/>
    <w:rsid w:val="00640F72"/>
    <w:rsid w:val="00791502"/>
    <w:rsid w:val="00821E4A"/>
    <w:rsid w:val="008314F0"/>
    <w:rsid w:val="00833A10"/>
    <w:rsid w:val="008F0CD5"/>
    <w:rsid w:val="00906071"/>
    <w:rsid w:val="009060E0"/>
    <w:rsid w:val="009202A8"/>
    <w:rsid w:val="00AC37D3"/>
    <w:rsid w:val="00B31390"/>
    <w:rsid w:val="00B653C2"/>
    <w:rsid w:val="00BD6275"/>
    <w:rsid w:val="00C2183E"/>
    <w:rsid w:val="00C65C80"/>
    <w:rsid w:val="00D612E3"/>
    <w:rsid w:val="00D807AC"/>
    <w:rsid w:val="00E55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267A96"/>
  <w15:chartTrackingRefBased/>
  <w15:docId w15:val="{528AFDE9-D945-4DF5-BB92-C646F77A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C2"/>
    <w:rPr>
      <w:rFonts w:ascii="Segoe UI Symbol" w:hAnsi="Segoe UI Symbol" w:cs="Times New Roman"/>
      <w:kern w:val="0"/>
      <w:sz w:val="24"/>
      <w:szCs w:val="24"/>
      <w14:ligatures w14:val="none"/>
    </w:rPr>
  </w:style>
  <w:style w:type="paragraph" w:styleId="Titre1">
    <w:name w:val="heading 1"/>
    <w:basedOn w:val="Normal"/>
    <w:next w:val="Normal"/>
    <w:link w:val="Titre1Car"/>
    <w:uiPriority w:val="9"/>
    <w:qFormat/>
    <w:rsid w:val="00B65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65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653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653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653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653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53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53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53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53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653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653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653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653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653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53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53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53C2"/>
    <w:rPr>
      <w:rFonts w:eastAsiaTheme="majorEastAsia" w:cstheme="majorBidi"/>
      <w:color w:val="272727" w:themeColor="text1" w:themeTint="D8"/>
    </w:rPr>
  </w:style>
  <w:style w:type="paragraph" w:styleId="Titre">
    <w:name w:val="Title"/>
    <w:basedOn w:val="Normal"/>
    <w:next w:val="Normal"/>
    <w:link w:val="TitreCar"/>
    <w:uiPriority w:val="10"/>
    <w:qFormat/>
    <w:rsid w:val="00B65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53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B653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B653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53C2"/>
    <w:pPr>
      <w:spacing w:before="160"/>
      <w:jc w:val="center"/>
    </w:pPr>
    <w:rPr>
      <w:i/>
      <w:iCs/>
      <w:color w:val="404040" w:themeColor="text1" w:themeTint="BF"/>
    </w:rPr>
  </w:style>
  <w:style w:type="character" w:customStyle="1" w:styleId="CitationCar">
    <w:name w:val="Citation Car"/>
    <w:basedOn w:val="Policepardfaut"/>
    <w:link w:val="Citation"/>
    <w:uiPriority w:val="29"/>
    <w:rsid w:val="00B653C2"/>
    <w:rPr>
      <w:i/>
      <w:iCs/>
      <w:color w:val="404040" w:themeColor="text1" w:themeTint="BF"/>
    </w:rPr>
  </w:style>
  <w:style w:type="paragraph" w:styleId="Paragraphedeliste">
    <w:name w:val="List Paragraph"/>
    <w:aliases w:val="Citation List,본문(내용),List Paragraph (numbered (a)),Colorful List - Accent 11,- List tir,liste 1,puce 1,Puces,References,Bullets,List Bullet Mary,Body,Paragraphe  revu,Liste couleur - Accent 12,Bullet L1,List Paragraph1,Liste 1,L_4,1"/>
    <w:basedOn w:val="Normal"/>
    <w:link w:val="ParagraphedelisteCar"/>
    <w:uiPriority w:val="34"/>
    <w:qFormat/>
    <w:rsid w:val="00B653C2"/>
    <w:pPr>
      <w:ind w:left="720"/>
      <w:contextualSpacing/>
    </w:pPr>
  </w:style>
  <w:style w:type="character" w:styleId="Accentuationintense">
    <w:name w:val="Intense Emphasis"/>
    <w:basedOn w:val="Policepardfaut"/>
    <w:uiPriority w:val="21"/>
    <w:qFormat/>
    <w:rsid w:val="00B653C2"/>
    <w:rPr>
      <w:i/>
      <w:iCs/>
      <w:color w:val="2F5496" w:themeColor="accent1" w:themeShade="BF"/>
    </w:rPr>
  </w:style>
  <w:style w:type="paragraph" w:styleId="Citationintense">
    <w:name w:val="Intense Quote"/>
    <w:basedOn w:val="Normal"/>
    <w:next w:val="Normal"/>
    <w:link w:val="CitationintenseCar"/>
    <w:uiPriority w:val="30"/>
    <w:qFormat/>
    <w:rsid w:val="00B65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653C2"/>
    <w:rPr>
      <w:i/>
      <w:iCs/>
      <w:color w:val="2F5496" w:themeColor="accent1" w:themeShade="BF"/>
    </w:rPr>
  </w:style>
  <w:style w:type="character" w:styleId="Rfrenceintense">
    <w:name w:val="Intense Reference"/>
    <w:basedOn w:val="Policepardfaut"/>
    <w:uiPriority w:val="32"/>
    <w:qFormat/>
    <w:rsid w:val="00B653C2"/>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 List tir Car,liste 1 Car,puce 1 Car,Puces Car,References Car,Bullets Car,List Bullet Mary Car,Body Car,Paragraphe  revu Car,L_4 Car"/>
    <w:basedOn w:val="Policepardfaut"/>
    <w:link w:val="Paragraphedeliste"/>
    <w:uiPriority w:val="34"/>
    <w:qFormat/>
    <w:locked/>
    <w:rsid w:val="00B653C2"/>
  </w:style>
  <w:style w:type="character" w:styleId="Lienhypertexte">
    <w:name w:val="Hyperlink"/>
    <w:basedOn w:val="Policepardfaut"/>
    <w:uiPriority w:val="99"/>
    <w:rsid w:val="00B653C2"/>
    <w:rPr>
      <w:color w:val="0000FF"/>
      <w:u w:val="single"/>
    </w:rPr>
  </w:style>
  <w:style w:type="character" w:styleId="Marquedecommentaire">
    <w:name w:val="annotation reference"/>
    <w:basedOn w:val="Policepardfaut"/>
    <w:uiPriority w:val="99"/>
    <w:rsid w:val="00B653C2"/>
    <w:rPr>
      <w:sz w:val="16"/>
    </w:rPr>
  </w:style>
  <w:style w:type="paragraph" w:styleId="Commentaire">
    <w:name w:val="annotation text"/>
    <w:basedOn w:val="Normal"/>
    <w:link w:val="CommentaireCar"/>
    <w:uiPriority w:val="99"/>
    <w:rsid w:val="00B653C2"/>
    <w:pPr>
      <w:spacing w:after="0" w:line="240" w:lineRule="auto"/>
    </w:pPr>
    <w:rPr>
      <w:rFonts w:ascii="Times New Roman" w:eastAsia="Times New Roman" w:hAnsi="Times New Roman"/>
      <w:sz w:val="20"/>
    </w:rPr>
  </w:style>
  <w:style w:type="character" w:customStyle="1" w:styleId="CommentaireCar">
    <w:name w:val="Commentaire Car"/>
    <w:basedOn w:val="Policepardfaut"/>
    <w:link w:val="Commentaire"/>
    <w:uiPriority w:val="99"/>
    <w:rsid w:val="00B653C2"/>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a.diabate@ageroute.gov.gn"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mim-dar.sylla@ageroute.gov.g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3605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 Dar SYLLA</dc:creator>
  <cp:keywords/>
  <dc:description/>
  <cp:lastModifiedBy>Tamim Dar SYLLA</cp:lastModifiedBy>
  <cp:revision>5</cp:revision>
  <dcterms:created xsi:type="dcterms:W3CDTF">2026-03-19T09:36:00Z</dcterms:created>
  <dcterms:modified xsi:type="dcterms:W3CDTF">2026-03-31T08:52:00Z</dcterms:modified>
</cp:coreProperties>
</file>